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судебной бухгалтерской экспертизы, значение и задачи.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и структура судебной экспертизы.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и организация бухгалтерского учета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проведения проверок и ревизий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проверки и исследования документальных записей по учету хозяйственных операций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Экспертное исследование операций с товарно-материальными ценностями в отдельных отраслях</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Экспертное исследование операций по учету производства, реализации себестоимости продукции (товаров. работ, услуг)</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Экспертное исследование операций по учету доходов, расходов и формированию финансовых результатов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бухгалтерская экспертиза, права и обязанности эксперта- бухгалтера</w:t>
            </w:r>
          </w:p>
        </w:tc>
      </w:tr>
      <w:tr>
        <w:trPr>
          <w:trHeight w:hRule="exact" w:val="295.763"/>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Дубоносов Е. С. Судебная бухгалтерия. [Электронный ресурс]:Учебник и практикум для вузов. - Москва: Юрайт, 2020. - 332 – Режим доступа: https://urait.ru/bcode/449682</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Дубоносов Е. С. Судебно-бухгалтерская экспертиза. [Электронный ресурс]:Учебник для вузов. - Москва: Юрайт, 2020. - 229 – Режим доступа: https://urait.ru/bcode/450150</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Дубоносов Е. С. Судебная бухгалтерия. [Электронный ресурс]:Учебное пособие для вузов. - Москва: Юрайт, 2020. - 157 – Режим доступа: https://urait.ru/bcode/449774</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Попаденко Е. В. Судебная бухгалтерия. [Электронный ресурс]:Учебник и практикум для вузов. - Москва: Юрайт, 2020. - 180 – Режим доступа: https://urait.ru/bcode/452710</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Ашмарина Е. М., Артемов Н. М., Быля А. Б., Гизатуллин Ф. К., Иванова Е. С., Карташов А. В., Терехова Е. В., Чадин М. В., Шохин С. О. Правовое обеспечение контроля, учета, аудита и судебно-экономической экспертизы. [Электронный ресурс]:Учебник для вузов. - Москва: Юрайт, 2020. - 299 – Режим доступа: https://urait.ru/bcode/450431</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680.316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694.13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7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Виолета</w:t>
            </w:r>
            <w:r>
              <w:rPr/>
              <w:t xml:space="preserve"> </w:t>
            </w:r>
            <w:r>
              <w:rPr>
                <w:rFonts w:ascii="Times New Roman" w:hAnsi="Times New Roman" w:cs="Times New Roman"/>
                <w:color w:val="#000000"/>
                <w:sz w:val="24"/>
                <w:szCs w:val="24"/>
              </w:rPr>
              <w:t>Стасио</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2021-2022_40_05_03_СЭ-ЭЭ-21_plx_Судебная бухгалтерская экспертиза</dc:title>
  <dc:creator>FastReport.NET</dc:creator>
</cp:coreProperties>
</file>