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520"/>
        <w:gridCol w:w="1599"/>
        <w:gridCol w:w="7088"/>
        <w:gridCol w:w="425"/>
      </w:tblGrid>
      <w:tr>
        <w:trPr>
          <w:trHeight w:hRule="exact" w:val="304.584"/>
        </w:trPr>
        <w:tc>
          <w:tcPr>
            <w:tcW w:w="10221"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Аннотация</w:t>
            </w:r>
          </w:p>
        </w:tc>
        <w:tc>
          <w:tcPr>
            <w:tcW w:w="426" w:type="dxa"/>
          </w:tcPr>
          <w:p/>
        </w:tc>
      </w:tr>
      <w:tr>
        <w:trPr>
          <w:trHeight w:hRule="exact" w:val="369.999"/>
        </w:trPr>
        <w:tc>
          <w:tcPr>
            <w:tcW w:w="10221"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Рабочей программы дисциплины</w:t>
            </w:r>
          </w:p>
        </w:tc>
        <w:tc>
          <w:tcPr>
            <w:tcW w:w="426" w:type="dxa"/>
          </w:tcPr>
          <w:p/>
        </w:tc>
      </w:tr>
      <w:tr>
        <w:trPr>
          <w:trHeight w:hRule="exact" w:val="212.415"/>
        </w:trPr>
        <w:tc>
          <w:tcPr>
            <w:tcW w:w="1521" w:type="dxa"/>
          </w:tcPr>
          <w:p/>
        </w:tc>
        <w:tc>
          <w:tcPr>
            <w:tcW w:w="1600" w:type="dxa"/>
          </w:tcPr>
          <w:p/>
        </w:tc>
        <w:tc>
          <w:tcPr>
            <w:tcW w:w="7089" w:type="dxa"/>
          </w:tcPr>
          <w:p/>
        </w:tc>
        <w:tc>
          <w:tcPr>
            <w:tcW w:w="426" w:type="dxa"/>
          </w:tcP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Дисциплина</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Логистика</w:t>
            </w:r>
            <w:r>
              <w:rPr/>
              <w:t xml:space="preserve"> </w:t>
            </w:r>
          </w:p>
        </w:tc>
      </w:tr>
      <w:tr>
        <w:trPr>
          <w:trHeight w:hRule="exact" w:val="557.1299"/>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Направление</w:t>
            </w:r>
            <w:r>
              <w:rPr/>
              <w:t xml:space="preserve"> </w:t>
            </w:r>
            <w:r>
              <w:rPr>
                <w:rFonts w:ascii="Times New Roman" w:hAnsi="Times New Roman" w:cs="Times New Roman"/>
                <w:color w:val="#000000"/>
                <w:sz w:val="24"/>
                <w:szCs w:val="24"/>
              </w:rPr>
              <w:t> подготовки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38.03.02</w:t>
            </w:r>
            <w:r>
              <w:rPr/>
              <w:t xml:space="preserve"> </w:t>
            </w:r>
            <w:r>
              <w:rPr>
                <w:rFonts w:ascii="Times New Roman" w:hAnsi="Times New Roman" w:cs="Times New Roman"/>
                <w:color w:val="#000000"/>
                <w:sz w:val="24"/>
                <w:szCs w:val="24"/>
              </w:rPr>
              <w:t>Менеджмент</w:t>
            </w:r>
            <w:r>
              <w:rPr/>
              <w:t xml:space="preserve"> </w:t>
            </w:r>
          </w:p>
        </w:tc>
      </w:tr>
      <w:tr>
        <w:trPr>
          <w:trHeight w:hRule="exact" w:val="557.1301"/>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Профиль</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Международный</w:t>
            </w:r>
            <w:r>
              <w:rPr/>
              <w:t xml:space="preserve"> </w:t>
            </w:r>
            <w:r>
              <w:rPr>
                <w:rFonts w:ascii="Times New Roman" w:hAnsi="Times New Roman" w:cs="Times New Roman"/>
                <w:color w:val="#000000"/>
                <w:sz w:val="24"/>
                <w:szCs w:val="24"/>
              </w:rPr>
              <w:t>менеджмент</w:t>
            </w:r>
            <w:r>
              <w:rPr/>
              <w:t xml:space="preserve"> </w:t>
            </w:r>
          </w:p>
        </w:tc>
      </w:tr>
      <w:tr>
        <w:trPr>
          <w:trHeight w:hRule="exact" w:val="557.1299"/>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Объем</w:t>
            </w:r>
            <w:r>
              <w:rPr/>
              <w:t xml:space="preserve"> </w:t>
            </w:r>
            <w:r>
              <w:rPr>
                <w:rFonts w:ascii="Times New Roman" w:hAnsi="Times New Roman" w:cs="Times New Roman"/>
                <w:color w:val="#000000"/>
                <w:sz w:val="24"/>
                <w:szCs w:val="24"/>
              </w:rPr>
              <w:t>дисциплины</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з.е</w:t>
            </w:r>
            <w:r>
              <w:rPr/>
              <w:t xml:space="preserve"> </w:t>
            </w: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Формы</w:t>
            </w:r>
            <w:r>
              <w:rPr/>
              <w:t xml:space="preserve"> </w:t>
            </w:r>
            <w:r>
              <w:rPr>
                <w:rFonts w:ascii="Times New Roman" w:hAnsi="Times New Roman" w:cs="Times New Roman"/>
                <w:color w:val="#000000"/>
                <w:sz w:val="24"/>
                <w:szCs w:val="24"/>
              </w:rPr>
              <w:t>промежуточной</w:t>
            </w:r>
            <w:r>
              <w:rPr/>
              <w:t xml:space="preserve"> </w:t>
            </w:r>
            <w:r>
              <w:rPr>
                <w:rFonts w:ascii="Times New Roman" w:hAnsi="Times New Roman" w:cs="Times New Roman"/>
                <w:color w:val="#000000"/>
                <w:sz w:val="24"/>
                <w:szCs w:val="24"/>
              </w:rPr>
              <w:t>аттестации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Зачет</w:t>
            </w:r>
            <w:r>
              <w:rPr/>
              <w:t xml:space="preserve"> </w:t>
            </w:r>
          </w:p>
        </w:tc>
      </w:tr>
      <w:tr>
        <w:trPr>
          <w:trHeight w:hRule="exact" w:val="497.742"/>
        </w:trPr>
        <w:tc>
          <w:tcPr>
            <w:tcW w:w="10646.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Кафедра</w:t>
            </w:r>
            <w:r>
              <w:rPr/>
              <w:t xml:space="preserve"> </w:t>
            </w:r>
            <w:r>
              <w:rPr>
                <w:rFonts w:ascii="Times New Roman" w:hAnsi="Times New Roman" w:cs="Times New Roman"/>
                <w:color w:val="#000000"/>
                <w:sz w:val="24"/>
                <w:szCs w:val="24"/>
              </w:rPr>
              <w:t>логистики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коммерции</w:t>
            </w:r>
            <w:r>
              <w:rPr/>
              <w:t xml:space="preserve"> </w:t>
            </w:r>
          </w:p>
        </w:tc>
      </w:tr>
      <w:tr>
        <w:trPr>
          <w:trHeight w:hRule="exact" w:val="285.1799"/>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Краткое</w:t>
            </w:r>
            <w:r>
              <w:rPr/>
              <w:t xml:space="preserve"> </w:t>
            </w:r>
            <w:r>
              <w:rPr>
                <w:rFonts w:ascii="Times New Roman" w:hAnsi="Times New Roman" w:cs="Times New Roman"/>
                <w:b/>
                <w:color w:val="#000000"/>
                <w:sz w:val="24"/>
                <w:szCs w:val="24"/>
              </w:rPr>
              <w:t>содержание</w:t>
            </w:r>
            <w:r>
              <w:rPr/>
              <w:t xml:space="preserve"> </w:t>
            </w:r>
            <w:r>
              <w:rPr>
                <w:rFonts w:ascii="Times New Roman" w:hAnsi="Times New Roman" w:cs="Times New Roman"/>
                <w:b/>
                <w:color w:val="#000000"/>
                <w:sz w:val="24"/>
                <w:szCs w:val="24"/>
              </w:rPr>
              <w:t>дисциплины</w:t>
            </w:r>
            <w:r>
              <w:rPr/>
              <w:t xml:space="preserve"> </w:t>
            </w:r>
            <w:r>
              <w:rPr>
                <w:rFonts w:ascii="Times New Roman" w:hAnsi="Times New Roman" w:cs="Times New Roman"/>
                <w:b/>
                <w:color w:val="#000000"/>
                <w:sz w:val="24"/>
                <w:szCs w:val="24"/>
              </w:rPr>
              <w:t> </w:t>
            </w:r>
            <w:r>
              <w:rPr/>
              <w:t xml:space="preserve"> </w:t>
            </w:r>
          </w:p>
        </w:tc>
      </w:tr>
      <w:tr>
        <w:trPr>
          <w:trHeight w:hRule="exact" w:val="1179.23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Тема</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Наименование темы</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Теоретические основы логистики</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2.</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Закупочная логистика и контроль качества продукции</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3.</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Производственная логистика</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4.</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Логистика распределения, сбыта и маркетинговая политика</w:t>
            </w:r>
          </w:p>
        </w:tc>
      </w:tr>
      <w:tr>
        <w:trPr>
          <w:trHeight w:hRule="exact" w:val="585.0598"/>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5.</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Транспортная логистика и организация транспортно-логистического обеспечения внешнеторгового контракта</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6.</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Информационная логистика и координация в логистике</w:t>
            </w:r>
          </w:p>
        </w:tc>
      </w:tr>
      <w:tr>
        <w:trPr>
          <w:trHeight w:hRule="exact" w:val="333.9845"/>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7.</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Организация хранения сырья и готовых изделий на складе предприятия</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8.</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Логистика запасов</w:t>
            </w:r>
          </w:p>
        </w:tc>
      </w:tr>
      <w:tr>
        <w:trPr>
          <w:trHeight w:hRule="exact" w:val="333.9845"/>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9.</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Логистика сервисного обслуживания</w:t>
            </w:r>
          </w:p>
        </w:tc>
      </w:tr>
      <w:tr>
        <w:trPr>
          <w:trHeight w:hRule="exact" w:val="184.632"/>
        </w:trPr>
        <w:tc>
          <w:tcPr>
            <w:tcW w:w="1521" w:type="dxa"/>
          </w:tcPr>
          <w:p/>
        </w:tc>
        <w:tc>
          <w:tcPr>
            <w:tcW w:w="1600" w:type="dxa"/>
          </w:tcPr>
          <w:p/>
        </w:tc>
        <w:tc>
          <w:tcPr>
            <w:tcW w:w="7089" w:type="dxa"/>
          </w:tcPr>
          <w:p/>
        </w:tc>
        <w:tc>
          <w:tcPr>
            <w:tcW w:w="426" w:type="dxa"/>
          </w:tcPr>
          <w:p/>
        </w:tc>
      </w:tr>
      <w:tr>
        <w:trPr>
          <w:trHeight w:hRule="exact" w:val="285.1804"/>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Список</w:t>
            </w:r>
            <w:r>
              <w:rPr/>
              <w:t xml:space="preserve"> </w:t>
            </w:r>
            <w:r>
              <w:rPr>
                <w:rFonts w:ascii="Times New Roman" w:hAnsi="Times New Roman" w:cs="Times New Roman"/>
                <w:b/>
                <w:color w:val="#000000"/>
                <w:sz w:val="24"/>
                <w:szCs w:val="24"/>
              </w:rPr>
              <w:t>литературы </w:t>
            </w:r>
            <w:r>
              <w:rPr/>
              <w:t xml:space="preserve"> </w:t>
            </w:r>
          </w:p>
        </w:tc>
      </w:tr>
      <w:tr>
        <w:trPr>
          <w:trHeight w:hRule="exact" w:val="196.9804"/>
        </w:trPr>
        <w:tc>
          <w:tcPr>
            <w:tcW w:w="1521" w:type="dxa"/>
          </w:tcPr>
          <w:p/>
        </w:tc>
        <w:tc>
          <w:tcPr>
            <w:tcW w:w="1600" w:type="dxa"/>
          </w:tcPr>
          <w:p/>
        </w:tc>
        <w:tc>
          <w:tcPr>
            <w:tcW w:w="7089" w:type="dxa"/>
          </w:tcPr>
          <w:p/>
        </w:tc>
        <w:tc>
          <w:tcPr>
            <w:tcW w:w="426" w:type="dxa"/>
          </w:tcPr>
          <w:p/>
        </w:tc>
      </w:tr>
      <w:tr>
        <w:trPr>
          <w:trHeight w:hRule="exact" w:val="285.1804"/>
        </w:trPr>
        <w:tc>
          <w:tcPr>
            <w:tcW w:w="10788"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Основная литература:</w:t>
            </w:r>
          </w:p>
        </w:tc>
      </w:tr>
      <w:tr>
        <w:trPr>
          <w:trHeight w:hRule="exact" w:val="1089.12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Гаджинский А. М. Логистика. [Электронный ресурс]:учебник для студентов вузов, обучающихся по направлениям подготовки "Экономика", "Менеджмент", "Товароведение", "Торговое дело", "Сервис" (квалификация "бакалавр"). - Москва: Дашков и К°, 2017. - 420 – Режим доступа: https://znanium.com/catalog/product/414962</w:t>
            </w:r>
          </w:p>
        </w:tc>
      </w:tr>
      <w:tr>
        <w:trPr>
          <w:trHeight w:hRule="exact" w:val="826.140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Щербаков В. В., Букринская Э. М., Гвилия Н. А., Ефремов А. А., Килль М. Ю., Павлов М. Ю. Логистика. [Электронный ресурс]:Учебник для вузов. - Москва: Юрайт, 2020. - 387 – Режим доступа: https://urait.ru/bcode/452534</w:t>
            </w:r>
          </w:p>
        </w:tc>
      </w:tr>
      <w:tr>
        <w:trPr>
          <w:trHeight w:hRule="exact" w:val="826.1393"/>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Каточков В. М., Савин Г. В., Царегородцева С. Р. Логистика. [Электронный ресурс]:учебное пособие. - Екатеринбург: Издательство УрГЭУ, 2019. - 182 – Режим доступа: http://lib.usue.ru/resource/limit/ump/20/p492909.pdf</w:t>
            </w:r>
          </w:p>
        </w:tc>
      </w:tr>
      <w:tr>
        <w:trPr>
          <w:trHeight w:hRule="exact" w:val="424.0955"/>
        </w:trPr>
        <w:tc>
          <w:tcPr>
            <w:tcW w:w="10788"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Дополнительная литература:</w:t>
            </w:r>
          </w:p>
        </w:tc>
      </w:tr>
      <w:tr>
        <w:trPr>
          <w:trHeight w:hRule="exact" w:val="1359.603"/>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Аникин Б. А., Дыбская В. В., Плоткин Б. К., Сергеев В. И., Степанов В. И., Тунаков А. П., Уваров С. А., Щербаков В. В. Практикум по логистике. [Электронный ресурс]:учебное пособие для студентов вузов, обучающихся по направлению подготовки 38.03.02 «Менеджмент» (квалификация (степень) «бакалавр»). - Москва: ИНФРА-М, 2019. - 275 – Режим доступа: https://znanium.com/catalog/product/1021194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Арский А. А., Борщ В. В., Демин В. А., Захаренко И. К., Карпова С. В., Комаров В. М., Панюкова В. В., Синяев В. В., Синяева И. М. Логистика. Практикум для бакалавров. [Электронный ресурс]:учебное пособие. - Москва: Вузовский учебник: ИНФРА-М, 2020. - 139 – Режим доступа: https://znanium.com/catalog/product/1036533</w:t>
            </w:r>
          </w:p>
        </w:tc>
      </w:tr>
      <w:tr>
        <w:trPr>
          <w:trHeight w:hRule="exact" w:val="826.14"/>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Гарнов А.П., Киреева Н.С. Инструментарий логистики. [Электронный ресурс]:Монография. - Москва: ООО "Научно-издательский центр ИНФРА-М", 2021. - 142 – Режим доступа: https://znanium.com/catalog/product/1199257</w:t>
            </w:r>
          </w:p>
        </w:tc>
      </w:tr>
      <w:tr>
        <w:trPr>
          <w:trHeight w:hRule="exact" w:val="277.8299"/>
        </w:trPr>
        <w:tc>
          <w:tcPr>
            <w:tcW w:w="10774" w:type="dxa"/>
          </w:tcPr>
          <w:p/>
        </w:tc>
      </w:tr>
      <w:tr>
        <w:trPr>
          <w:trHeight w:hRule="exact" w:val="826.14"/>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технологий,</w:t>
            </w:r>
            <w:r>
              <w:rPr/>
              <w:t xml:space="preserve"> </w:t>
            </w:r>
            <w:r>
              <w:rPr>
                <w:rFonts w:ascii="Times New Roman" w:hAnsi="Times New Roman" w:cs="Times New Roman"/>
                <w:b/>
                <w:color w:val="#000000"/>
                <w:sz w:val="24"/>
                <w:szCs w:val="24"/>
              </w:rPr>
              <w:t>включая</w:t>
            </w:r>
            <w:r>
              <w:rPr/>
              <w:t xml:space="preserve"> </w:t>
            </w: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лицензионного</w:t>
            </w:r>
            <w:r>
              <w:rPr/>
              <w:t xml:space="preserve"> </w:t>
            </w:r>
            <w:r>
              <w:rPr>
                <w:rFonts w:ascii="Times New Roman" w:hAnsi="Times New Roman" w:cs="Times New Roman"/>
                <w:b/>
                <w:color w:val="#000000"/>
                <w:sz w:val="24"/>
                <w:szCs w:val="24"/>
              </w:rPr>
              <w:t>программного</w:t>
            </w:r>
            <w:r>
              <w:rPr/>
              <w:t xml:space="preserve"> </w:t>
            </w:r>
            <w:r>
              <w:rPr>
                <w:rFonts w:ascii="Times New Roman" w:hAnsi="Times New Roman" w:cs="Times New Roman"/>
                <w:b/>
                <w:color w:val="#000000"/>
                <w:sz w:val="24"/>
                <w:szCs w:val="24"/>
              </w:rPr>
              <w:t>обеспечения</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справочных</w:t>
            </w:r>
            <w:r>
              <w:rPr/>
              <w:t xml:space="preserve"> </w:t>
            </w:r>
            <w:r>
              <w:rPr>
                <w:rFonts w:ascii="Times New Roman" w:hAnsi="Times New Roman" w:cs="Times New Roman"/>
                <w:b/>
                <w:color w:val="#000000"/>
                <w:sz w:val="24"/>
                <w:szCs w:val="24"/>
              </w:rPr>
              <w:t>систем,</w:t>
            </w:r>
            <w:r>
              <w:rPr/>
              <w:t xml:space="preserve"> </w:t>
            </w:r>
            <w:r>
              <w:rPr>
                <w:rFonts w:ascii="Times New Roman" w:hAnsi="Times New Roman" w:cs="Times New Roman"/>
                <w:b/>
                <w:color w:val="#000000"/>
                <w:sz w:val="24"/>
                <w:szCs w:val="24"/>
              </w:rPr>
              <w:t> онлайн</w:t>
            </w:r>
            <w:r>
              <w:rPr/>
              <w:t xml:space="preserve"> </w:t>
            </w:r>
            <w:r>
              <w:rPr>
                <w:rFonts w:ascii="Times New Roman" w:hAnsi="Times New Roman" w:cs="Times New Roman"/>
                <w:b/>
                <w:color w:val="#000000"/>
                <w:sz w:val="24"/>
                <w:szCs w:val="24"/>
              </w:rPr>
              <w:t>курсов,</w:t>
            </w:r>
            <w:r>
              <w:rPr/>
              <w:t xml:space="preserve"> </w:t>
            </w:r>
            <w:r>
              <w:rPr>
                <w:rFonts w:ascii="Times New Roman" w:hAnsi="Times New Roman" w:cs="Times New Roman"/>
                <w:b/>
                <w:color w:val="#000000"/>
                <w:sz w:val="24"/>
                <w:szCs w:val="24"/>
              </w:rPr>
              <w:t>используемых</w:t>
            </w:r>
            <w:r>
              <w:rPr/>
              <w:t xml:space="preserve"> </w:t>
            </w:r>
            <w:r>
              <w:rPr>
                <w:rFonts w:ascii="Times New Roman" w:hAnsi="Times New Roman" w:cs="Times New Roman"/>
                <w:b/>
                <w:color w:val="#000000"/>
                <w:sz w:val="24"/>
                <w:szCs w:val="24"/>
              </w:rPr>
              <w:t>при</w:t>
            </w:r>
            <w:r>
              <w:rPr/>
              <w:t xml:space="preserve"> </w:t>
            </w:r>
            <w:r>
              <w:rPr>
                <w:rFonts w:ascii="Times New Roman" w:hAnsi="Times New Roman" w:cs="Times New Roman"/>
                <w:b/>
                <w:color w:val="#000000"/>
                <w:sz w:val="24"/>
                <w:szCs w:val="24"/>
              </w:rPr>
              <w:t>осуществлении</w:t>
            </w:r>
            <w:r>
              <w:rPr/>
              <w:t xml:space="preserve"> </w:t>
            </w:r>
            <w:r>
              <w:rPr>
                <w:rFonts w:ascii="Times New Roman" w:hAnsi="Times New Roman" w:cs="Times New Roman"/>
                <w:b/>
                <w:color w:val="#000000"/>
                <w:sz w:val="24"/>
                <w:szCs w:val="24"/>
              </w:rPr>
              <w:t>образовательного</w:t>
            </w:r>
            <w:r>
              <w:rPr/>
              <w:t xml:space="preserve"> </w:t>
            </w:r>
            <w:r>
              <w:rPr>
                <w:rFonts w:ascii="Times New Roman" w:hAnsi="Times New Roman" w:cs="Times New Roman"/>
                <w:b/>
                <w:color w:val="#000000"/>
                <w:sz w:val="24"/>
                <w:szCs w:val="24"/>
              </w:rPr>
              <w:t>процесса</w:t>
            </w:r>
            <w:r>
              <w:rPr/>
              <w:t xml:space="preserve"> </w:t>
            </w:r>
            <w:r>
              <w:rPr>
                <w:rFonts w:ascii="Times New Roman" w:hAnsi="Times New Roman" w:cs="Times New Roman"/>
                <w:b/>
                <w:color w:val="#000000"/>
                <w:sz w:val="24"/>
                <w:szCs w:val="24"/>
              </w:rPr>
              <w:t>по</w:t>
            </w:r>
            <w:r>
              <w:rPr/>
              <w:t xml:space="preserve"> </w:t>
            </w:r>
            <w:r>
              <w:rPr>
                <w:rFonts w:ascii="Times New Roman" w:hAnsi="Times New Roman" w:cs="Times New Roman"/>
                <w:b/>
                <w:color w:val="#000000"/>
                <w:sz w:val="24"/>
                <w:szCs w:val="24"/>
              </w:rPr>
              <w:t>дисциплине </w:t>
            </w:r>
            <w:r>
              <w:rPr/>
              <w:t xml:space="preserve"> </w:t>
            </w:r>
          </w:p>
        </w:tc>
      </w:tr>
      <w:tr>
        <w:trPr>
          <w:trHeight w:hRule="exact" w:val="424.0951"/>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лицензионного программного обеспечения:</w:t>
            </w:r>
          </w:p>
        </w:tc>
      </w:tr>
      <w:tr>
        <w:trPr>
          <w:trHeight w:hRule="exact" w:val="277.8301"/>
        </w:trPr>
        <w:tc>
          <w:tcPr>
            <w:tcW w:w="10774" w:type="dxa"/>
          </w:tcPr>
          <w:p/>
        </w:tc>
      </w:tr>
      <w:tr>
        <w:trPr>
          <w:trHeight w:hRule="exact" w:val="555.66"/>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Astra</w:t>
            </w:r>
            <w:r>
              <w:rPr/>
              <w:t xml:space="preserve"> </w:t>
            </w:r>
            <w:r>
              <w:rPr>
                <w:rFonts w:ascii="Times New Roman" w:hAnsi="Times New Roman" w:cs="Times New Roman"/>
                <w:color w:val="#000000"/>
                <w:sz w:val="24"/>
                <w:szCs w:val="24"/>
              </w:rPr>
              <w:t>Linux</w:t>
            </w:r>
            <w:r>
              <w:rPr/>
              <w:t xml:space="preserve"> </w:t>
            </w:r>
            <w:r>
              <w:rPr>
                <w:rFonts w:ascii="Times New Roman" w:hAnsi="Times New Roman" w:cs="Times New Roman"/>
                <w:color w:val="#000000"/>
                <w:sz w:val="24"/>
                <w:szCs w:val="24"/>
              </w:rPr>
              <w:t>Common</w:t>
            </w:r>
            <w:r>
              <w:rPr/>
              <w:t xml:space="preserve"> </w:t>
            </w:r>
            <w:r>
              <w:rPr>
                <w:rFonts w:ascii="Times New Roman" w:hAnsi="Times New Roman" w:cs="Times New Roman"/>
                <w:color w:val="#000000"/>
                <w:sz w:val="24"/>
                <w:szCs w:val="24"/>
              </w:rPr>
              <w:t>Edition.</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17</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МойОфис</w:t>
            </w:r>
            <w:r>
              <w:rPr/>
              <w:t xml:space="preserve"> </w:t>
            </w:r>
            <w:r>
              <w:rPr>
                <w:rFonts w:ascii="Times New Roman" w:hAnsi="Times New Roman" w:cs="Times New Roman"/>
                <w:color w:val="#000000"/>
                <w:sz w:val="24"/>
                <w:szCs w:val="24"/>
              </w:rPr>
              <w:t>стандартный.</w:t>
            </w:r>
            <w:r>
              <w:rPr/>
              <w:t xml:space="preserve"> </w:t>
            </w:r>
            <w:r>
              <w:rPr>
                <w:rFonts w:ascii="Times New Roman" w:hAnsi="Times New Roman" w:cs="Times New Roman"/>
                <w:color w:val="#000000"/>
                <w:sz w:val="24"/>
                <w:szCs w:val="24"/>
              </w:rPr>
              <w:t>Соглашение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СК-281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Дата</w:t>
            </w:r>
            <w:r>
              <w:rPr/>
              <w:t xml:space="preserve"> </w:t>
            </w:r>
            <w:r>
              <w:rPr>
                <w:rFonts w:ascii="Times New Roman" w:hAnsi="Times New Roman" w:cs="Times New Roman"/>
                <w:color w:val="#000000"/>
                <w:sz w:val="24"/>
                <w:szCs w:val="24"/>
              </w:rPr>
              <w:t>заключения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07.06.2017.</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826.1402"/>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Конфигурация</w:t>
            </w:r>
            <w:r>
              <w:rPr/>
              <w:t xml:space="preserve"> </w:t>
            </w:r>
            <w:r>
              <w:rPr>
                <w:rFonts w:ascii="Times New Roman" w:hAnsi="Times New Roman" w:cs="Times New Roman"/>
                <w:color w:val="#000000"/>
                <w:sz w:val="24"/>
                <w:szCs w:val="24"/>
              </w:rPr>
              <w:t>1С:Предприятие</w:t>
            </w:r>
            <w:r>
              <w:rPr/>
              <w:t xml:space="preserve"> </w:t>
            </w:r>
            <w:r>
              <w:rPr>
                <w:rFonts w:ascii="Times New Roman" w:hAnsi="Times New Roman" w:cs="Times New Roman"/>
                <w:color w:val="#000000"/>
                <w:sz w:val="24"/>
                <w:szCs w:val="24"/>
              </w:rPr>
              <w:t>8.</w:t>
            </w:r>
            <w:r>
              <w:rPr/>
              <w:t xml:space="preserve"> </w:t>
            </w:r>
            <w:r>
              <w:rPr>
                <w:rFonts w:ascii="Times New Roman" w:hAnsi="Times New Roman" w:cs="Times New Roman"/>
                <w:color w:val="#000000"/>
                <w:sz w:val="24"/>
                <w:szCs w:val="24"/>
              </w:rPr>
              <w:t>ERP.</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Б/Н</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02.06.2009</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Лицензионное</w:t>
            </w:r>
            <w:r>
              <w:rPr/>
              <w:t xml:space="preserve"> </w:t>
            </w:r>
            <w:r>
              <w:rPr>
                <w:rFonts w:ascii="Times New Roman" w:hAnsi="Times New Roman" w:cs="Times New Roman"/>
                <w:color w:val="#000000"/>
                <w:sz w:val="24"/>
                <w:szCs w:val="24"/>
              </w:rPr>
              <w:t>соглашение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8971903,</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62</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15.07.2009</w:t>
            </w:r>
            <w:r>
              <w:rPr/>
              <w:t xml:space="preserve"> </w:t>
            </w:r>
            <w:r>
              <w:rPr>
                <w:rFonts w:ascii="Times New Roman" w:hAnsi="Times New Roman" w:cs="Times New Roman"/>
                <w:color w:val="#000000"/>
                <w:sz w:val="24"/>
                <w:szCs w:val="24"/>
              </w:rPr>
              <w:t> "1C:Зарплата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кадры</w:t>
            </w:r>
            <w:r>
              <w:rPr/>
              <w:t xml:space="preserve"> </w:t>
            </w:r>
            <w:r>
              <w:rPr>
                <w:rFonts w:ascii="Times New Roman" w:hAnsi="Times New Roman" w:cs="Times New Roman"/>
                <w:color w:val="#000000"/>
                <w:sz w:val="24"/>
                <w:szCs w:val="24"/>
              </w:rPr>
              <w:t>бюджетного</w:t>
            </w:r>
            <w:r>
              <w:rPr/>
              <w:t xml:space="preserve"> </w:t>
            </w:r>
            <w:r>
              <w:rPr>
                <w:rFonts w:ascii="Times New Roman" w:hAnsi="Times New Roman" w:cs="Times New Roman"/>
                <w:color w:val="#000000"/>
                <w:sz w:val="24"/>
                <w:szCs w:val="24"/>
              </w:rPr>
              <w:t>учреждения</w:t>
            </w:r>
            <w:r>
              <w:rPr/>
              <w:t xml:space="preserve"> </w:t>
            </w:r>
            <w:r>
              <w:rPr>
                <w:rFonts w:ascii="Times New Roman" w:hAnsi="Times New Roman" w:cs="Times New Roman"/>
                <w:color w:val="#000000"/>
                <w:sz w:val="24"/>
                <w:szCs w:val="24"/>
              </w:rPr>
              <w:t>8"</w:t>
            </w:r>
            <w:r>
              <w:rPr/>
              <w:t xml:space="preserve"> </w:t>
            </w:r>
            <w:r>
              <w:rPr>
                <w:rFonts w:ascii="Times New Roman" w:hAnsi="Times New Roman" w:cs="Times New Roman"/>
                <w:color w:val="#000000"/>
                <w:sz w:val="24"/>
                <w:szCs w:val="24"/>
              </w:rPr>
              <w:t>(рег.</w:t>
            </w:r>
            <w:r>
              <w:rPr/>
              <w:t xml:space="preserve"> </w:t>
            </w:r>
            <w:r>
              <w:rPr>
                <w:rFonts w:ascii="Times New Roman" w:hAnsi="Times New Roman" w:cs="Times New Roman"/>
                <w:color w:val="#000000"/>
                <w:sz w:val="24"/>
                <w:szCs w:val="24"/>
              </w:rPr>
              <w:t>номер</w:t>
            </w:r>
            <w:r>
              <w:rPr/>
              <w:t xml:space="preserve"> </w:t>
            </w:r>
            <w:r>
              <w:rPr>
                <w:rFonts w:ascii="Times New Roman" w:hAnsi="Times New Roman" w:cs="Times New Roman"/>
                <w:color w:val="#000000"/>
                <w:sz w:val="24"/>
                <w:szCs w:val="24"/>
              </w:rPr>
              <w:t>9648728). </w:t>
            </w:r>
            <w:r>
              <w:rPr/>
              <w:t xml:space="preserve"> </w:t>
            </w:r>
          </w:p>
        </w:tc>
      </w:tr>
      <w:tr>
        <w:trPr>
          <w:trHeight w:hRule="exact" w:val="694.575"/>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информационных справочных систем, ресурсов информационно- телекоммуникационной сети «Интернет»:</w:t>
            </w:r>
          </w:p>
        </w:tc>
      </w:tr>
      <w:tr>
        <w:trPr>
          <w:trHeight w:hRule="exact" w:val="826.1402"/>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Гарант.</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58419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22</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Консультант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163/223-У/2020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14.12.2020.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31.12.2021</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424.0955"/>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Аннотацию</w:t>
            </w:r>
            <w:r>
              <w:rPr/>
              <w:t xml:space="preserve"> </w:t>
            </w:r>
            <w:r>
              <w:rPr>
                <w:rFonts w:ascii="Times New Roman" w:hAnsi="Times New Roman" w:cs="Times New Roman"/>
                <w:color w:val="#000000"/>
                <w:sz w:val="24"/>
                <w:szCs w:val="24"/>
              </w:rPr>
              <w:t>подготовил:</w:t>
            </w:r>
            <w:r>
              <w:rPr/>
              <w:t xml:space="preserve"> </w:t>
            </w:r>
            <w:r>
              <w:rPr>
                <w:rFonts w:ascii="Times New Roman" w:hAnsi="Times New Roman" w:cs="Times New Roman"/>
                <w:color w:val="#000000"/>
                <w:sz w:val="24"/>
                <w:szCs w:val="24"/>
              </w:rPr>
              <w:t>Савин</w:t>
            </w:r>
            <w:r>
              <w:rPr/>
              <w:t xml:space="preserve"> </w:t>
            </w:r>
            <w:r>
              <w:rPr>
                <w:rFonts w:ascii="Times New Roman" w:hAnsi="Times New Roman" w:cs="Times New Roman"/>
                <w:color w:val="#000000"/>
                <w:sz w:val="24"/>
                <w:szCs w:val="24"/>
              </w:rPr>
              <w:t>Глеб</w:t>
            </w:r>
            <w:r>
              <w:rPr/>
              <w:t xml:space="preserve"> </w:t>
            </w:r>
            <w:r>
              <w:rPr>
                <w:rFonts w:ascii="Times New Roman" w:hAnsi="Times New Roman" w:cs="Times New Roman"/>
                <w:color w:val="#000000"/>
                <w:sz w:val="24"/>
                <w:szCs w:val="24"/>
              </w:rPr>
              <w:t>Владимирович</w:t>
            </w:r>
            <w:r>
              <w:rPr/>
              <w:t xml:space="preserve"> </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2021-2022_38_03_02-ММ-2021_очное_plx_Логистика</dc:title>
  <dc:creator>FastReport.NET</dc:creator>
</cp:coreProperties>
</file>