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520"/>
        <w:gridCol w:w="1599"/>
        <w:gridCol w:w="7088"/>
        <w:gridCol w:w="425"/>
      </w:tblGrid>
      <w:tr>
        <w:trPr>
          <w:trHeight w:hRule="exact" w:val="304.584"/>
        </w:trPr>
        <w:tc>
          <w:tcPr>
            <w:tcW w:w="10221"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Аннотация</w:t>
            </w:r>
          </w:p>
        </w:tc>
        <w:tc>
          <w:tcPr>
            <w:tcW w:w="426" w:type="dxa"/>
          </w:tcPr>
          <w:p/>
        </w:tc>
      </w:tr>
      <w:tr>
        <w:trPr>
          <w:trHeight w:hRule="exact" w:val="369.999"/>
        </w:trPr>
        <w:tc>
          <w:tcPr>
            <w:tcW w:w="10221"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Рабочей программы дисциплины</w:t>
            </w:r>
          </w:p>
        </w:tc>
        <w:tc>
          <w:tcPr>
            <w:tcW w:w="426" w:type="dxa"/>
          </w:tcPr>
          <w:p/>
        </w:tc>
      </w:tr>
      <w:tr>
        <w:trPr>
          <w:trHeight w:hRule="exact" w:val="212.415"/>
        </w:trPr>
        <w:tc>
          <w:tcPr>
            <w:tcW w:w="1521" w:type="dxa"/>
          </w:tcPr>
          <w:p/>
        </w:tc>
        <w:tc>
          <w:tcPr>
            <w:tcW w:w="1600" w:type="dxa"/>
          </w:tcPr>
          <w:p/>
        </w:tc>
        <w:tc>
          <w:tcPr>
            <w:tcW w:w="7089" w:type="dxa"/>
          </w:tcPr>
          <w:p/>
        </w:tc>
        <w:tc>
          <w:tcPr>
            <w:tcW w:w="426" w:type="dxa"/>
          </w:tcP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Дисциплина</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Учет</w:t>
            </w:r>
            <w:r>
              <w:rPr/>
              <w:t xml:space="preserve"> </w:t>
            </w:r>
            <w:r>
              <w:rPr>
                <w:rFonts w:ascii="Times New Roman" w:hAnsi="Times New Roman" w:cs="Times New Roman"/>
                <w:color w:val="#000000"/>
                <w:sz w:val="24"/>
                <w:szCs w:val="24"/>
              </w:rPr>
              <w:t>доходов</w:t>
            </w:r>
            <w:r>
              <w:rPr/>
              <w:t xml:space="preserve"> </w:t>
            </w:r>
            <w:r>
              <w:rPr>
                <w:rFonts w:ascii="Times New Roman" w:hAnsi="Times New Roman" w:cs="Times New Roman"/>
                <w:color w:val="#000000"/>
                <w:sz w:val="24"/>
                <w:szCs w:val="24"/>
              </w:rPr>
              <w:t>физических</w:t>
            </w:r>
            <w:r>
              <w:rPr/>
              <w:t xml:space="preserve"> </w:t>
            </w:r>
            <w:r>
              <w:rPr>
                <w:rFonts w:ascii="Times New Roman" w:hAnsi="Times New Roman" w:cs="Times New Roman"/>
                <w:color w:val="#000000"/>
                <w:sz w:val="24"/>
                <w:szCs w:val="24"/>
              </w:rPr>
              <w:t>лиц</w:t>
            </w:r>
            <w:r>
              <w:rPr/>
              <w:t xml:space="preserve"> </w:t>
            </w:r>
          </w:p>
        </w:tc>
      </w:tr>
      <w:tr>
        <w:trPr>
          <w:trHeight w:hRule="exact" w:val="557.1299"/>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Направление</w:t>
            </w:r>
            <w:r>
              <w:rPr/>
              <w:t xml:space="preserve"> </w:t>
            </w:r>
            <w:r>
              <w:rPr>
                <w:rFonts w:ascii="Times New Roman" w:hAnsi="Times New Roman" w:cs="Times New Roman"/>
                <w:color w:val="#000000"/>
                <w:sz w:val="24"/>
                <w:szCs w:val="24"/>
              </w:rPr>
              <w:t> подготовки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38.03.01</w:t>
            </w:r>
            <w:r>
              <w:rPr/>
              <w:t xml:space="preserve"> </w:t>
            </w:r>
            <w:r>
              <w:rPr>
                <w:rFonts w:ascii="Times New Roman" w:hAnsi="Times New Roman" w:cs="Times New Roman"/>
                <w:color w:val="#000000"/>
                <w:sz w:val="24"/>
                <w:szCs w:val="24"/>
              </w:rPr>
              <w:t>Экономика</w:t>
            </w:r>
            <w:r>
              <w:rPr/>
              <w:t xml:space="preserve"> </w:t>
            </w:r>
          </w:p>
        </w:tc>
      </w:tr>
      <w:tr>
        <w:trPr>
          <w:trHeight w:hRule="exact" w:val="557.1301"/>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Профиль</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Учетно-аналитические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цифровой</w:t>
            </w:r>
            <w:r>
              <w:rPr/>
              <w:t xml:space="preserve"> </w:t>
            </w:r>
            <w:r>
              <w:rPr>
                <w:rFonts w:ascii="Times New Roman" w:hAnsi="Times New Roman" w:cs="Times New Roman"/>
                <w:color w:val="#000000"/>
                <w:sz w:val="24"/>
                <w:szCs w:val="24"/>
              </w:rPr>
              <w:t>экономике</w:t>
            </w:r>
            <w:r>
              <w:rPr/>
              <w:t xml:space="preserve"> </w:t>
            </w:r>
          </w:p>
        </w:tc>
      </w:tr>
      <w:tr>
        <w:trPr>
          <w:trHeight w:hRule="exact" w:val="557.1299"/>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Объем</w:t>
            </w:r>
            <w:r>
              <w:rPr/>
              <w:t xml:space="preserve"> </w:t>
            </w:r>
            <w:r>
              <w:rPr>
                <w:rFonts w:ascii="Times New Roman" w:hAnsi="Times New Roman" w:cs="Times New Roman"/>
                <w:color w:val="#000000"/>
                <w:sz w:val="24"/>
                <w:szCs w:val="24"/>
              </w:rPr>
              <w:t>дисциплины</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з.е</w:t>
            </w:r>
            <w:r>
              <w:rPr/>
              <w:t xml:space="preserve"> </w:t>
            </w: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Формы</w:t>
            </w:r>
            <w:r>
              <w:rPr/>
              <w:t xml:space="preserve"> </w:t>
            </w:r>
            <w:r>
              <w:rPr>
                <w:rFonts w:ascii="Times New Roman" w:hAnsi="Times New Roman" w:cs="Times New Roman"/>
                <w:color w:val="#000000"/>
                <w:sz w:val="24"/>
                <w:szCs w:val="24"/>
              </w:rPr>
              <w:t>промежуточной</w:t>
            </w:r>
            <w:r>
              <w:rPr/>
              <w:t xml:space="preserve"> </w:t>
            </w:r>
            <w:r>
              <w:rPr>
                <w:rFonts w:ascii="Times New Roman" w:hAnsi="Times New Roman" w:cs="Times New Roman"/>
                <w:color w:val="#000000"/>
                <w:sz w:val="24"/>
                <w:szCs w:val="24"/>
              </w:rPr>
              <w:t>аттестации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Экзамен</w:t>
            </w:r>
            <w:r>
              <w:rPr/>
              <w:t xml:space="preserve"> </w:t>
            </w:r>
          </w:p>
        </w:tc>
      </w:tr>
      <w:tr>
        <w:trPr>
          <w:trHeight w:hRule="exact" w:val="497.742"/>
        </w:trPr>
        <w:tc>
          <w:tcPr>
            <w:tcW w:w="10646.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Кафедра</w:t>
            </w:r>
            <w:r>
              <w:rPr/>
              <w:t xml:space="preserve"> </w:t>
            </w:r>
            <w:r>
              <w:rPr>
                <w:rFonts w:ascii="Times New Roman" w:hAnsi="Times New Roman" w:cs="Times New Roman"/>
                <w:color w:val="#000000"/>
                <w:sz w:val="24"/>
                <w:szCs w:val="24"/>
              </w:rPr>
              <w:t>бухгалтерского</w:t>
            </w:r>
            <w:r>
              <w:rPr/>
              <w:t xml:space="preserve"> </w:t>
            </w:r>
            <w:r>
              <w:rPr>
                <w:rFonts w:ascii="Times New Roman" w:hAnsi="Times New Roman" w:cs="Times New Roman"/>
                <w:color w:val="#000000"/>
                <w:sz w:val="24"/>
                <w:szCs w:val="24"/>
              </w:rPr>
              <w:t>учета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аудита</w:t>
            </w:r>
            <w:r>
              <w:rPr/>
              <w:t xml:space="preserve"> </w:t>
            </w:r>
          </w:p>
        </w:tc>
      </w:tr>
      <w:tr>
        <w:trPr>
          <w:trHeight w:hRule="exact" w:val="285.1799"/>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Краткое</w:t>
            </w:r>
            <w:r>
              <w:rPr/>
              <w:t xml:space="preserve"> </w:t>
            </w:r>
            <w:r>
              <w:rPr>
                <w:rFonts w:ascii="Times New Roman" w:hAnsi="Times New Roman" w:cs="Times New Roman"/>
                <w:b/>
                <w:color w:val="#000000"/>
                <w:sz w:val="24"/>
                <w:szCs w:val="24"/>
              </w:rPr>
              <w:t>содержание</w:t>
            </w:r>
            <w:r>
              <w:rPr/>
              <w:t xml:space="preserve"> </w:t>
            </w:r>
            <w:r>
              <w:rPr>
                <w:rFonts w:ascii="Times New Roman" w:hAnsi="Times New Roman" w:cs="Times New Roman"/>
                <w:b/>
                <w:color w:val="#000000"/>
                <w:sz w:val="24"/>
                <w:szCs w:val="24"/>
              </w:rPr>
              <w:t>дисциплины</w:t>
            </w:r>
            <w:r>
              <w:rPr/>
              <w:t xml:space="preserve"> </w:t>
            </w:r>
            <w:r>
              <w:rPr>
                <w:rFonts w:ascii="Times New Roman" w:hAnsi="Times New Roman" w:cs="Times New Roman"/>
                <w:b/>
                <w:color w:val="#000000"/>
                <w:sz w:val="24"/>
                <w:szCs w:val="24"/>
              </w:rPr>
              <w:t> </w:t>
            </w:r>
            <w:r>
              <w:rPr/>
              <w:t xml:space="preserve"> </w:t>
            </w:r>
          </w:p>
        </w:tc>
      </w:tr>
      <w:tr>
        <w:trPr>
          <w:trHeight w:hRule="exact" w:val="1179.23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Тема</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Наименование темы</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Нормативно-правовое регулирование оплаты труда</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2.</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Организация учета расчетов по оплате труда</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3.</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Формы и системы оплаты труда. Базовые формулы расчета</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4.</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и порядок расчета средней заработной платы</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5.</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Порядок начисления пособий</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6.</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удержаний из доходов работников и порядок их учета</w:t>
            </w:r>
          </w:p>
        </w:tc>
      </w:tr>
      <w:tr>
        <w:trPr>
          <w:trHeight w:hRule="exact" w:val="585.0598"/>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7.</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Порядок формирования налоговой базы и расчет страховых взносов во внебюджетные фонды</w:t>
            </w:r>
          </w:p>
        </w:tc>
      </w:tr>
      <w:tr>
        <w:trPr>
          <w:trHeight w:hRule="exact" w:val="184.632"/>
        </w:trPr>
        <w:tc>
          <w:tcPr>
            <w:tcW w:w="1521" w:type="dxa"/>
          </w:tcPr>
          <w:p/>
        </w:tc>
        <w:tc>
          <w:tcPr>
            <w:tcW w:w="1600" w:type="dxa"/>
          </w:tcPr>
          <w:p/>
        </w:tc>
        <w:tc>
          <w:tcPr>
            <w:tcW w:w="7089" w:type="dxa"/>
          </w:tcPr>
          <w:p/>
        </w:tc>
        <w:tc>
          <w:tcPr>
            <w:tcW w:w="426" w:type="dxa"/>
          </w:tcPr>
          <w:p/>
        </w:tc>
      </w:tr>
      <w:tr>
        <w:trPr>
          <w:trHeight w:hRule="exact" w:val="285.1804"/>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Список</w:t>
            </w:r>
            <w:r>
              <w:rPr/>
              <w:t xml:space="preserve"> </w:t>
            </w:r>
            <w:r>
              <w:rPr>
                <w:rFonts w:ascii="Times New Roman" w:hAnsi="Times New Roman" w:cs="Times New Roman"/>
                <w:b/>
                <w:color w:val="#000000"/>
                <w:sz w:val="24"/>
                <w:szCs w:val="24"/>
              </w:rPr>
              <w:t>литературы </w:t>
            </w:r>
            <w:r>
              <w:rPr/>
              <w:t xml:space="preserve"> </w:t>
            </w:r>
          </w:p>
        </w:tc>
      </w:tr>
      <w:tr>
        <w:trPr>
          <w:trHeight w:hRule="exact" w:val="196.9804"/>
        </w:trPr>
        <w:tc>
          <w:tcPr>
            <w:tcW w:w="1521" w:type="dxa"/>
          </w:tcPr>
          <w:p/>
        </w:tc>
        <w:tc>
          <w:tcPr>
            <w:tcW w:w="1600" w:type="dxa"/>
          </w:tcPr>
          <w:p/>
        </w:tc>
        <w:tc>
          <w:tcPr>
            <w:tcW w:w="7089" w:type="dxa"/>
          </w:tcPr>
          <w:p/>
        </w:tc>
        <w:tc>
          <w:tcPr>
            <w:tcW w:w="426" w:type="dxa"/>
          </w:tcPr>
          <w:p/>
        </w:tc>
      </w:tr>
      <w:tr>
        <w:trPr>
          <w:trHeight w:hRule="exact" w:val="285.1804"/>
        </w:trPr>
        <w:tc>
          <w:tcPr>
            <w:tcW w:w="10788"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Основная литература:</w:t>
            </w:r>
          </w:p>
        </w:tc>
      </w:tr>
      <w:tr>
        <w:trPr>
          <w:trHeight w:hRule="exact" w:val="818.789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Малис Н.И., Анисимов С. А. Налогообложение физических лиц. [Электронный ресурс]:Учебное пособие. - Москва: Издательство "Магистр", 2019. - 128 – Режим доступа: https://znanium.com/catalog/product/1013442</w:t>
            </w:r>
          </w:p>
        </w:tc>
      </w:tr>
      <w:tr>
        <w:trPr>
          <w:trHeight w:hRule="exact" w:val="1096.473"/>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Гончаренко Л. И., Грунина Д. К., Каширина М. В., Липатова И. В., Малкова Ю. В., Мельникова Н. П., Пинская М. Р., Савина О. Н., Смирнов Д. А., Смирнова Е. Е. Налогообложение физических лиц. [Электронный ресурс]:Учебник и практикум для вузов. - Москва: Юрайт, 2020. - 363 – Режим доступа: https://urait.ru/bcode/451196</w:t>
            </w:r>
          </w:p>
        </w:tc>
      </w:tr>
      <w:tr>
        <w:trPr>
          <w:trHeight w:hRule="exact" w:val="826.1393"/>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Матвеева В. С. Учет и налогообложение доходов физических лиц. [Электронный ресурс]:учебное пособие. - Екатеринбург: Издательство УрГЭУ, 2018. - 118 – Режим доступа: http://lib.usue.ru/resource/limit/ump/18/p491114.pdf</w:t>
            </w:r>
          </w:p>
        </w:tc>
      </w:tr>
      <w:tr>
        <w:trPr>
          <w:trHeight w:hRule="exact" w:val="424.0955"/>
        </w:trPr>
        <w:tc>
          <w:tcPr>
            <w:tcW w:w="10788"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Дополнительная литература:</w:t>
            </w:r>
          </w:p>
        </w:tc>
      </w:tr>
      <w:tr>
        <w:trPr>
          <w:trHeight w:hRule="exact" w:val="818.790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Ребров А. В. Мотивация и оплата труда. Современные модели и технологии. [Электронный ресурс]:Учебное пособие. - Москва: ООО "Научно-издательский центр ИНФРА-М", 2020. - 346 с. – Режим доступа: https://znanium.com/catalog/product/1070320</w:t>
            </w:r>
          </w:p>
        </w:tc>
      </w:tr>
      <w:tr>
        <w:trPr>
          <w:trHeight w:hRule="exact" w:val="826.1393"/>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Горелов Н. А. Оплата труда персонала: методология и расчеты. [Электронный ресурс]:Учебник и практикум для вузов. - Москва: Юрайт, 2020. - 412 – Режим доступа: https://urait.ru/bcode/450682</w:t>
            </w:r>
          </w:p>
        </w:tc>
      </w:tr>
      <w:tr>
        <w:trPr>
          <w:trHeight w:hRule="exact" w:val="277.8304"/>
        </w:trPr>
        <w:tc>
          <w:tcPr>
            <w:tcW w:w="1521" w:type="dxa"/>
          </w:tcPr>
          <w:p/>
        </w:tc>
        <w:tc>
          <w:tcPr>
            <w:tcW w:w="1600" w:type="dxa"/>
          </w:tcPr>
          <w:p/>
        </w:tc>
        <w:tc>
          <w:tcPr>
            <w:tcW w:w="7089" w:type="dxa"/>
          </w:tcPr>
          <w:p/>
        </w:tc>
        <w:tc>
          <w:tcPr>
            <w:tcW w:w="426" w:type="dxa"/>
          </w:tcPr>
          <w:p/>
        </w:tc>
      </w:tr>
      <w:tr>
        <w:trPr>
          <w:trHeight w:hRule="exact" w:val="826.1393"/>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технологий,</w:t>
            </w:r>
            <w:r>
              <w:rPr/>
              <w:t xml:space="preserve"> </w:t>
            </w:r>
            <w:r>
              <w:rPr>
                <w:rFonts w:ascii="Times New Roman" w:hAnsi="Times New Roman" w:cs="Times New Roman"/>
                <w:b/>
                <w:color w:val="#000000"/>
                <w:sz w:val="24"/>
                <w:szCs w:val="24"/>
              </w:rPr>
              <w:t>включая</w:t>
            </w:r>
            <w:r>
              <w:rPr/>
              <w:t xml:space="preserve"> </w:t>
            </w: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лицензионного</w:t>
            </w:r>
            <w:r>
              <w:rPr/>
              <w:t xml:space="preserve"> </w:t>
            </w:r>
            <w:r>
              <w:rPr>
                <w:rFonts w:ascii="Times New Roman" w:hAnsi="Times New Roman" w:cs="Times New Roman"/>
                <w:b/>
                <w:color w:val="#000000"/>
                <w:sz w:val="24"/>
                <w:szCs w:val="24"/>
              </w:rPr>
              <w:t>программного</w:t>
            </w:r>
            <w:r>
              <w:rPr/>
              <w:t xml:space="preserve"> </w:t>
            </w:r>
            <w:r>
              <w:rPr>
                <w:rFonts w:ascii="Times New Roman" w:hAnsi="Times New Roman" w:cs="Times New Roman"/>
                <w:b/>
                <w:color w:val="#000000"/>
                <w:sz w:val="24"/>
                <w:szCs w:val="24"/>
              </w:rPr>
              <w:t>обеспечения</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справочных</w:t>
            </w:r>
            <w:r>
              <w:rPr/>
              <w:t xml:space="preserve"> </w:t>
            </w:r>
            <w:r>
              <w:rPr>
                <w:rFonts w:ascii="Times New Roman" w:hAnsi="Times New Roman" w:cs="Times New Roman"/>
                <w:b/>
                <w:color w:val="#000000"/>
                <w:sz w:val="24"/>
                <w:szCs w:val="24"/>
              </w:rPr>
              <w:t>систем,</w:t>
            </w:r>
            <w:r>
              <w:rPr/>
              <w:t xml:space="preserve"> </w:t>
            </w:r>
            <w:r>
              <w:rPr>
                <w:rFonts w:ascii="Times New Roman" w:hAnsi="Times New Roman" w:cs="Times New Roman"/>
                <w:b/>
                <w:color w:val="#000000"/>
                <w:sz w:val="24"/>
                <w:szCs w:val="24"/>
              </w:rPr>
              <w:t> онлайн</w:t>
            </w:r>
            <w:r>
              <w:rPr/>
              <w:t xml:space="preserve"> </w:t>
            </w:r>
            <w:r>
              <w:rPr>
                <w:rFonts w:ascii="Times New Roman" w:hAnsi="Times New Roman" w:cs="Times New Roman"/>
                <w:b/>
                <w:color w:val="#000000"/>
                <w:sz w:val="24"/>
                <w:szCs w:val="24"/>
              </w:rPr>
              <w:t>курсов,</w:t>
            </w:r>
            <w:r>
              <w:rPr/>
              <w:t xml:space="preserve"> </w:t>
            </w:r>
            <w:r>
              <w:rPr>
                <w:rFonts w:ascii="Times New Roman" w:hAnsi="Times New Roman" w:cs="Times New Roman"/>
                <w:b/>
                <w:color w:val="#000000"/>
                <w:sz w:val="24"/>
                <w:szCs w:val="24"/>
              </w:rPr>
              <w:t>используемых</w:t>
            </w:r>
            <w:r>
              <w:rPr/>
              <w:t xml:space="preserve"> </w:t>
            </w:r>
            <w:r>
              <w:rPr>
                <w:rFonts w:ascii="Times New Roman" w:hAnsi="Times New Roman" w:cs="Times New Roman"/>
                <w:b/>
                <w:color w:val="#000000"/>
                <w:sz w:val="24"/>
                <w:szCs w:val="24"/>
              </w:rPr>
              <w:t>при</w:t>
            </w:r>
            <w:r>
              <w:rPr/>
              <w:t xml:space="preserve"> </w:t>
            </w:r>
            <w:r>
              <w:rPr>
                <w:rFonts w:ascii="Times New Roman" w:hAnsi="Times New Roman" w:cs="Times New Roman"/>
                <w:b/>
                <w:color w:val="#000000"/>
                <w:sz w:val="24"/>
                <w:szCs w:val="24"/>
              </w:rPr>
              <w:t>осуществлении</w:t>
            </w:r>
            <w:r>
              <w:rPr/>
              <w:t xml:space="preserve"> </w:t>
            </w:r>
            <w:r>
              <w:rPr>
                <w:rFonts w:ascii="Times New Roman" w:hAnsi="Times New Roman" w:cs="Times New Roman"/>
                <w:b/>
                <w:color w:val="#000000"/>
                <w:sz w:val="24"/>
                <w:szCs w:val="24"/>
              </w:rPr>
              <w:t>образовательного</w:t>
            </w:r>
            <w:r>
              <w:rPr/>
              <w:t xml:space="preserve"> </w:t>
            </w:r>
            <w:r>
              <w:rPr>
                <w:rFonts w:ascii="Times New Roman" w:hAnsi="Times New Roman" w:cs="Times New Roman"/>
                <w:b/>
                <w:color w:val="#000000"/>
                <w:sz w:val="24"/>
                <w:szCs w:val="24"/>
              </w:rPr>
              <w:t>процесса</w:t>
            </w:r>
            <w:r>
              <w:rPr/>
              <w:t xml:space="preserve"> </w:t>
            </w:r>
            <w:r>
              <w:rPr>
                <w:rFonts w:ascii="Times New Roman" w:hAnsi="Times New Roman" w:cs="Times New Roman"/>
                <w:b/>
                <w:color w:val="#000000"/>
                <w:sz w:val="24"/>
                <w:szCs w:val="24"/>
              </w:rPr>
              <w:t>по</w:t>
            </w:r>
            <w:r>
              <w:rPr/>
              <w:t xml:space="preserve"> </w:t>
            </w:r>
            <w:r>
              <w:rPr>
                <w:rFonts w:ascii="Times New Roman" w:hAnsi="Times New Roman" w:cs="Times New Roman"/>
                <w:b/>
                <w:color w:val="#000000"/>
                <w:sz w:val="24"/>
                <w:szCs w:val="24"/>
              </w:rPr>
              <w:t>дисциплине </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85.18"/>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лицензионного программного обеспечения:</w:t>
            </w:r>
          </w:p>
        </w:tc>
      </w:tr>
      <w:tr>
        <w:trPr>
          <w:trHeight w:hRule="exact" w:val="277.83"/>
        </w:trPr>
        <w:tc>
          <w:tcPr>
            <w:tcW w:w="10774" w:type="dxa"/>
          </w:tcPr>
          <w:p/>
        </w:tc>
      </w:tr>
      <w:tr>
        <w:trPr>
          <w:trHeight w:hRule="exact" w:val="555.66"/>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Microsoft</w:t>
            </w:r>
            <w:r>
              <w:rPr/>
              <w:t xml:space="preserve"> </w:t>
            </w:r>
            <w:r>
              <w:rPr>
                <w:rFonts w:ascii="Times New Roman" w:hAnsi="Times New Roman" w:cs="Times New Roman"/>
                <w:color w:val="#000000"/>
                <w:sz w:val="24"/>
                <w:szCs w:val="24"/>
              </w:rPr>
              <w:t>Windows</w:t>
            </w:r>
            <w:r>
              <w:rPr/>
              <w:t xml:space="preserve"> </w:t>
            </w:r>
            <w:r>
              <w:rPr>
                <w:rFonts w:ascii="Times New Roman" w:hAnsi="Times New Roman" w:cs="Times New Roman"/>
                <w:color w:val="#000000"/>
                <w:sz w:val="24"/>
                <w:szCs w:val="24"/>
              </w:rPr>
              <w:t>10</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52/223-ПО/2020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13.04.2020,</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Tr000523459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14.10.2020.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30.09.2023. </w:t>
            </w:r>
            <w:r>
              <w:rPr/>
              <w:t xml:space="preserve"> </w:t>
            </w:r>
          </w:p>
        </w:tc>
      </w:tr>
      <w:tr>
        <w:trPr>
          <w:trHeight w:hRule="exact" w:val="555.6599"/>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Astra</w:t>
            </w:r>
            <w:r>
              <w:rPr/>
              <w:t xml:space="preserve"> </w:t>
            </w:r>
            <w:r>
              <w:rPr>
                <w:rFonts w:ascii="Times New Roman" w:hAnsi="Times New Roman" w:cs="Times New Roman"/>
                <w:color w:val="#000000"/>
                <w:sz w:val="24"/>
                <w:szCs w:val="24"/>
              </w:rPr>
              <w:t>Linux</w:t>
            </w:r>
            <w:r>
              <w:rPr/>
              <w:t xml:space="preserve"> </w:t>
            </w:r>
            <w:r>
              <w:rPr>
                <w:rFonts w:ascii="Times New Roman" w:hAnsi="Times New Roman" w:cs="Times New Roman"/>
                <w:color w:val="#000000"/>
                <w:sz w:val="24"/>
                <w:szCs w:val="24"/>
              </w:rPr>
              <w:t>Common</w:t>
            </w:r>
            <w:r>
              <w:rPr/>
              <w:t xml:space="preserve"> </w:t>
            </w:r>
            <w:r>
              <w:rPr>
                <w:rFonts w:ascii="Times New Roman" w:hAnsi="Times New Roman" w:cs="Times New Roman"/>
                <w:color w:val="#000000"/>
                <w:sz w:val="24"/>
                <w:szCs w:val="24"/>
              </w:rPr>
              <w:t>Edition.</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17</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555.66"/>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Microsoft</w:t>
            </w:r>
            <w:r>
              <w:rPr/>
              <w:t xml:space="preserve"> </w:t>
            </w:r>
            <w:r>
              <w:rPr>
                <w:rFonts w:ascii="Times New Roman" w:hAnsi="Times New Roman" w:cs="Times New Roman"/>
                <w:color w:val="#000000"/>
                <w:sz w:val="24"/>
                <w:szCs w:val="24"/>
              </w:rPr>
              <w:t>Office</w:t>
            </w:r>
            <w:r>
              <w:rPr/>
              <w:t xml:space="preserve"> </w:t>
            </w:r>
            <w:r>
              <w:rPr>
                <w:rFonts w:ascii="Times New Roman" w:hAnsi="Times New Roman" w:cs="Times New Roman"/>
                <w:color w:val="#000000"/>
                <w:sz w:val="24"/>
                <w:szCs w:val="24"/>
              </w:rPr>
              <w:t>2016.Договор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52/223-ПО/2020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13.04.2020,</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Tr000523459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14.10.2020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30.09.2023. </w:t>
            </w:r>
            <w:r>
              <w:rPr/>
              <w:t xml:space="preserve"> </w:t>
            </w:r>
          </w:p>
        </w:tc>
      </w:tr>
      <w:tr>
        <w:trPr>
          <w:trHeight w:hRule="exact" w:val="555.66"/>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МойОфис</w:t>
            </w:r>
            <w:r>
              <w:rPr/>
              <w:t xml:space="preserve"> </w:t>
            </w:r>
            <w:r>
              <w:rPr>
                <w:rFonts w:ascii="Times New Roman" w:hAnsi="Times New Roman" w:cs="Times New Roman"/>
                <w:color w:val="#000000"/>
                <w:sz w:val="24"/>
                <w:szCs w:val="24"/>
              </w:rPr>
              <w:t>стандартный.</w:t>
            </w:r>
            <w:r>
              <w:rPr/>
              <w:t xml:space="preserve"> </w:t>
            </w:r>
            <w:r>
              <w:rPr>
                <w:rFonts w:ascii="Times New Roman" w:hAnsi="Times New Roman" w:cs="Times New Roman"/>
                <w:color w:val="#000000"/>
                <w:sz w:val="24"/>
                <w:szCs w:val="24"/>
              </w:rPr>
              <w:t>Соглашение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СК-281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Дата</w:t>
            </w:r>
            <w:r>
              <w:rPr/>
              <w:t xml:space="preserve"> </w:t>
            </w:r>
            <w:r>
              <w:rPr>
                <w:rFonts w:ascii="Times New Roman" w:hAnsi="Times New Roman" w:cs="Times New Roman"/>
                <w:color w:val="#000000"/>
                <w:sz w:val="24"/>
                <w:szCs w:val="24"/>
              </w:rPr>
              <w:t>заключения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07.06.2017.</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694.575"/>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информационных справочных систем, ресурсов информационно- телекоммуникационной сети «Интернет»:</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Консультант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163/223-У/2020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14.12.2020.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31.12.2021</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826.1402"/>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Гарант.</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58419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22</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424.0951"/>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Аннотацию</w:t>
            </w:r>
            <w:r>
              <w:rPr/>
              <w:t xml:space="preserve"> </w:t>
            </w:r>
            <w:r>
              <w:rPr>
                <w:rFonts w:ascii="Times New Roman" w:hAnsi="Times New Roman" w:cs="Times New Roman"/>
                <w:color w:val="#000000"/>
                <w:sz w:val="24"/>
                <w:szCs w:val="24"/>
              </w:rPr>
              <w:t>подготовил:</w:t>
            </w:r>
            <w:r>
              <w:rPr/>
              <w:t xml:space="preserve"> </w:t>
            </w:r>
            <w:r>
              <w:rPr>
                <w:rFonts w:ascii="Times New Roman" w:hAnsi="Times New Roman" w:cs="Times New Roman"/>
                <w:color w:val="#000000"/>
                <w:sz w:val="24"/>
                <w:szCs w:val="24"/>
              </w:rPr>
              <w:t>Матвеева</w:t>
            </w:r>
            <w:r>
              <w:rPr/>
              <w:t xml:space="preserve"> </w:t>
            </w:r>
            <w:r>
              <w:rPr>
                <w:rFonts w:ascii="Times New Roman" w:hAnsi="Times New Roman" w:cs="Times New Roman"/>
                <w:color w:val="#000000"/>
                <w:sz w:val="24"/>
                <w:szCs w:val="24"/>
              </w:rPr>
              <w:t>Виолета</w:t>
            </w:r>
            <w:r>
              <w:rPr/>
              <w:t xml:space="preserve"> </w:t>
            </w:r>
            <w:r>
              <w:rPr>
                <w:rFonts w:ascii="Times New Roman" w:hAnsi="Times New Roman" w:cs="Times New Roman"/>
                <w:color w:val="#000000"/>
                <w:sz w:val="24"/>
                <w:szCs w:val="24"/>
              </w:rPr>
              <w:t>Стасио</w:t>
            </w:r>
            <w:r>
              <w:rPr/>
              <w:t xml:space="preserve"> </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2021-2022_38_03_01-УАТвЦЭ-2021_очное_plx_Учет доходов физических лиц</dc:title>
  <dc:creator>FastReport.NET</dc:creator>
</cp:coreProperties>
</file>