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торговой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хозяйствующих</w:t>
            </w:r>
            <w:r>
              <w:rPr/>
              <w:t xml:space="preserve"> </w:t>
            </w:r>
            <w:r>
              <w:rPr>
                <w:rFonts w:ascii="Times New Roman" w:hAnsi="Times New Roman" w:cs="Times New Roman"/>
                <w:color w:val="#000000"/>
                <w:sz w:val="24"/>
                <w:szCs w:val="24"/>
              </w:rPr>
              <w:t>субъектов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система и принципы торгового права. Источники торгового права.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торгового права.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гражданских прав субъектов торговой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собственности и иные вещные права субъектов торговой деятельности.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государственного регулирования торговой (коммерческой) деятельности.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Сделки и договоры в коммерческом праве.</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Финансово-кредитная деятельность хозяйствующих субъектов и денежное обращение.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Внешнеторговая деятельность предпринимателей.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субъектов торговой деятельности.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277.830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Шувалова И. А. Защита прав потребителей:пособие. - Москва: ИНФРА-М, 2017. - 166 с.</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Предпринимательское право. Правовое регулирование отдельных видов предпринимательской деятельности. Учебник и практикум для бакалавриата и магистратуры: для студентов вузов, обучающихся по юридическим направлениям: [в 2 частях]. Ч. 2. [Электронный ресурс]:. - Москва: Юрайт, 2019. - 192 – Режим доступа: https://urait.ru/bcode/437171</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Пугинский Б. И., Амиров А. Т., Варламова А. Н., Гена Е. И., Измайлова Е. В., Леонова Г. Б., Маслова В. А., Северин В. А., Сидорова Т. Э., Филиппова С. Ю., Цветков И. В., Белов В. А., Абросимова Е. А. Коммерческое право [Электронный ресурс]:Учебник. - Москва: Издательство Юрайт, 2019. - 471 – Режим доступа: https://www.biblio-online.ru/bcode/432038</w:t>
            </w:r>
          </w:p>
        </w:tc>
      </w:tr>
      <w:tr>
        <w:trPr>
          <w:trHeight w:hRule="exact" w:val="277.8312"/>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521" w:type="dxa"/>
          </w:tcPr>
          <w:p/>
        </w:tc>
        <w:tc>
          <w:tcPr>
            <w:tcW w:w="1600" w:type="dxa"/>
          </w:tcPr>
          <w:p/>
        </w:tc>
        <w:tc>
          <w:tcPr>
            <w:tcW w:w="7089" w:type="dxa"/>
          </w:tcPr>
          <w:p/>
        </w:tc>
        <w:tc>
          <w:tcPr>
            <w:tcW w:w="426" w:type="dxa"/>
          </w:tcP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Слукин</w:t>
            </w:r>
            <w:r>
              <w:rPr/>
              <w:t xml:space="preserve"> </w:t>
            </w:r>
            <w:r>
              <w:rPr>
                <w:rFonts w:ascii="Times New Roman" w:hAnsi="Times New Roman" w:cs="Times New Roman"/>
                <w:color w:val="#000000"/>
                <w:sz w:val="24"/>
                <w:szCs w:val="24"/>
              </w:rPr>
              <w:t>Сергей</w:t>
            </w:r>
            <w:r>
              <w:rPr/>
              <w:t xml:space="preserve"> </w:t>
            </w:r>
            <w:r>
              <w:rPr>
                <w:rFonts w:ascii="Times New Roman" w:hAnsi="Times New Roman" w:cs="Times New Roman"/>
                <w:color w:val="#000000"/>
                <w:sz w:val="24"/>
                <w:szCs w:val="24"/>
              </w:rPr>
              <w:t>Викторович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2021-2022_40_03_01-ЮЭД-2021_очное_plx_Правовое регулирование торговой деятельности</dc:title>
  <dc:creator>FastReport.NET</dc:creator>
</cp:coreProperties>
</file>