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государственной итоговой аттестации</w:t>
            </w:r>
          </w:p>
        </w:tc>
        <w:tc>
          <w:tcPr>
            <w:tcW w:w="426" w:type="dxa"/>
          </w:tcPr>
          <w:p/>
        </w:tc>
      </w:tr>
      <w:tr>
        <w:trPr>
          <w:trHeight w:hRule="exact" w:val="631.3649"/>
        </w:trPr>
        <w:tc>
          <w:tcPr>
            <w:tcW w:w="3119" w:type="dxa"/>
          </w:tcPr>
          <w:p/>
        </w:tc>
        <w:tc>
          <w:tcPr>
            <w:tcW w:w="7089" w:type="dxa"/>
          </w:tcPr>
          <w:p/>
        </w:tc>
        <w:tc>
          <w:tcPr>
            <w:tcW w:w="426" w:type="dxa"/>
          </w:tcPr>
          <w:p/>
        </w:tc>
      </w:tr>
      <w:tr>
        <w:trPr>
          <w:trHeight w:hRule="exact" w:val="413.80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6.395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Направленность</w:t>
            </w:r>
            <w:r>
              <w:rPr/>
              <w:t xml:space="preserve"> </w:t>
            </w: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Форма</w:t>
            </w:r>
            <w:r>
              <w:rPr/>
              <w:t xml:space="preserve"> </w:t>
            </w:r>
            <w:r>
              <w:rPr>
                <w:rFonts w:ascii="Times New Roman" w:hAnsi="Times New Roman" w:cs="Times New Roman"/>
                <w:b/>
                <w:color w:val="#000000"/>
                <w:sz w:val="24"/>
                <w:szCs w:val="24"/>
              </w:rPr>
              <w:t>ГИА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квалификационная</w:t>
            </w:r>
            <w:r>
              <w:rPr/>
              <w:t xml:space="preserve"> </w:t>
            </w:r>
            <w:r>
              <w:rPr>
                <w:rFonts w:ascii="Times New Roman" w:hAnsi="Times New Roman" w:cs="Times New Roman"/>
                <w:color w:val="#000000"/>
                <w:sz w:val="24"/>
                <w:szCs w:val="24"/>
              </w:rPr>
              <w:t>работа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ГИА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выпускной</w:t>
            </w:r>
            <w:r>
              <w:rPr/>
              <w:t xml:space="preserve"> </w:t>
            </w:r>
            <w:r>
              <w:rPr>
                <w:rFonts w:ascii="Times New Roman" w:hAnsi="Times New Roman" w:cs="Times New Roman"/>
                <w:color w:val="#000000"/>
                <w:sz w:val="24"/>
                <w:szCs w:val="24"/>
              </w:rPr>
              <w:t>квалификационной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включая</w:t>
            </w:r>
            <w:r>
              <w:rPr/>
              <w:t xml:space="preserve"> </w:t>
            </w:r>
            <w:r>
              <w:rPr>
                <w:rFonts w:ascii="Times New Roman" w:hAnsi="Times New Roman" w:cs="Times New Roman"/>
                <w:color w:val="#000000"/>
                <w:sz w:val="24"/>
                <w:szCs w:val="24"/>
              </w:rPr>
              <w:t>подготовку</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процедуре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процедуру</w:t>
            </w:r>
            <w:r>
              <w:rPr/>
              <w:t xml:space="preserve"> </w:t>
            </w:r>
            <w:r>
              <w:rPr>
                <w:rFonts w:ascii="Times New Roman" w:hAnsi="Times New Roman" w:cs="Times New Roman"/>
                <w:color w:val="#000000"/>
                <w:sz w:val="24"/>
                <w:szCs w:val="24"/>
              </w:rPr>
              <w:t>защиты </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з.е</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Блок</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r>
              <w:rPr>
                <w:rFonts w:ascii="Times New Roman" w:hAnsi="Times New Roman" w:cs="Times New Roman"/>
                <w:color w:val="#000000"/>
                <w:sz w:val="24"/>
                <w:szCs w:val="24"/>
              </w:rPr>
              <w:t>который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завершается</w:t>
            </w:r>
            <w:r>
              <w:rPr/>
              <w:t xml:space="preserve"> </w:t>
            </w:r>
            <w:r>
              <w:rPr>
                <w:rFonts w:ascii="Times New Roman" w:hAnsi="Times New Roman" w:cs="Times New Roman"/>
                <w:color w:val="#000000"/>
                <w:sz w:val="24"/>
                <w:szCs w:val="24"/>
              </w:rPr>
              <w:t>присвоением</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указанной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перечне</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утверждаемом</w:t>
            </w:r>
            <w:r>
              <w:rPr/>
              <w:t xml:space="preserve"> </w:t>
            </w:r>
            <w:r>
              <w:rPr>
                <w:rFonts w:ascii="Times New Roman" w:hAnsi="Times New Roman" w:cs="Times New Roman"/>
                <w:color w:val="#000000"/>
                <w:sz w:val="24"/>
                <w:szCs w:val="24"/>
              </w:rPr>
              <w:t>Министерством</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Цели</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 </w:t>
            </w:r>
            <w:r>
              <w:rPr/>
              <w:t xml:space="preserve"> </w:t>
            </w:r>
          </w:p>
        </w:tc>
      </w:tr>
      <w:tr>
        <w:trPr>
          <w:trHeight w:hRule="exact" w:val="694.57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Проверка</w:t>
            </w:r>
            <w:r>
              <w:rPr/>
              <w:t xml:space="preserve"> </w:t>
            </w:r>
            <w:r>
              <w:rPr>
                <w:rFonts w:ascii="Times New Roman" w:hAnsi="Times New Roman" w:cs="Times New Roman"/>
                <w:color w:val="#000000"/>
                <w:sz w:val="24"/>
                <w:szCs w:val="24"/>
              </w:rPr>
              <w:t>сформированности</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необходимых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p>
        </w:tc>
      </w:tr>
      <w:tr>
        <w:trPr>
          <w:trHeight w:hRule="exact" w:val="230.054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планируемых</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ВКР </w:t>
            </w:r>
            <w:r>
              <w:rPr/>
              <w:t xml:space="preserve"> </w:t>
            </w:r>
          </w:p>
        </w:tc>
      </w:tr>
      <w:tr>
        <w:trPr>
          <w:trHeight w:hRule="exact" w:val="557.865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Должны</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сформированы</w:t>
            </w:r>
            <w:r>
              <w:rPr/>
              <w:t xml:space="preserve"> </w:t>
            </w: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общекультурные,</w:t>
            </w:r>
            <w:r>
              <w:rPr/>
              <w:t xml:space="preserve"> </w:t>
            </w:r>
            <w:r>
              <w:rPr>
                <w:rFonts w:ascii="Times New Roman" w:hAnsi="Times New Roman" w:cs="Times New Roman"/>
                <w:color w:val="#000000"/>
                <w:sz w:val="24"/>
                <w:szCs w:val="24"/>
              </w:rPr>
              <w:t>общепрофессиональные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компетенции.</w:t>
            </w:r>
            <w:r>
              <w:rPr/>
              <w:t xml:space="preserve"> </w:t>
            </w:r>
          </w:p>
        </w:tc>
      </w:tr>
      <w:tr>
        <w:trPr>
          <w:trHeight w:hRule="exact" w:val="418.214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Структура</w:t>
            </w:r>
            <w:r>
              <w:rPr/>
              <w:t xml:space="preserve"> </w:t>
            </w:r>
            <w:r>
              <w:rPr>
                <w:rFonts w:ascii="Times New Roman" w:hAnsi="Times New Roman" w:cs="Times New Roman"/>
                <w:b/>
                <w:color w:val="#000000"/>
                <w:sz w:val="24"/>
                <w:szCs w:val="24"/>
              </w:rPr>
              <w:t>ВКР </w:t>
            </w:r>
            <w:r>
              <w:rPr/>
              <w:t xml:space="preserve"> </w:t>
            </w:r>
          </w:p>
        </w:tc>
      </w:tr>
      <w:tr>
        <w:trPr>
          <w:trHeight w:hRule="exact" w:val="1944.81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Титульный</w:t>
            </w:r>
            <w:r>
              <w:rPr/>
              <w:t xml:space="preserve"> </w:t>
            </w:r>
            <w:r>
              <w:rPr>
                <w:rFonts w:ascii="Times New Roman" w:hAnsi="Times New Roman" w:cs="Times New Roman"/>
                <w:color w:val="#000000"/>
                <w:sz w:val="24"/>
                <w:szCs w:val="24"/>
              </w:rPr>
              <w:t>лист</w:t>
            </w:r>
            <w:r>
              <w:rPr/>
              <w:t xml:space="preserve"> </w:t>
            </w:r>
          </w:p>
          <w:p>
            <w:pPr>
              <w:jc w:val="left"/>
              <w:spacing w:after="0" w:line="240" w:lineRule="auto"/>
              <w:rPr>
                <w:sz w:val="24"/>
                <w:szCs w:val="24"/>
              </w:rPr>
            </w:pPr>
            <w:r>
              <w:rPr>
                <w:rFonts w:ascii="Times New Roman" w:hAnsi="Times New Roman" w:cs="Times New Roman"/>
                <w:color w:val="#000000"/>
                <w:sz w:val="24"/>
                <w:szCs w:val="24"/>
              </w:rPr>
              <w:t>Содержание</w:t>
            </w:r>
            <w:r>
              <w:rPr/>
              <w:t xml:space="preserve"> </w:t>
            </w:r>
          </w:p>
          <w:p>
            <w:pPr>
              <w:jc w:val="left"/>
              <w:spacing w:after="0" w:line="240" w:lineRule="auto"/>
              <w:rPr>
                <w:sz w:val="24"/>
                <w:szCs w:val="24"/>
              </w:rPr>
            </w:pPr>
            <w:r>
              <w:rPr>
                <w:rFonts w:ascii="Times New Roman" w:hAnsi="Times New Roman" w:cs="Times New Roman"/>
                <w:color w:val="#000000"/>
                <w:sz w:val="24"/>
                <w:szCs w:val="24"/>
              </w:rPr>
              <w:t>Введение </w:t>
            </w:r>
            <w:r>
              <w:rPr/>
              <w:t xml:space="preserve"> </w:t>
            </w:r>
          </w:p>
          <w:p>
            <w:pPr>
              <w:jc w:val="left"/>
              <w:spacing w:after="0" w:line="240" w:lineRule="auto"/>
              <w:rPr>
                <w:sz w:val="24"/>
                <w:szCs w:val="24"/>
              </w:rPr>
            </w:pPr>
            <w:r>
              <w:rPr>
                <w:rFonts w:ascii="Times New Roman" w:hAnsi="Times New Roman" w:cs="Times New Roman"/>
                <w:color w:val="#000000"/>
                <w:sz w:val="24"/>
                <w:szCs w:val="24"/>
              </w:rPr>
              <w:t>Основная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разделением</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главы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параграфы</w:t>
            </w:r>
            <w:r>
              <w:rPr/>
              <w:t xml:space="preserve"> </w:t>
            </w:r>
          </w:p>
          <w:p>
            <w:pPr>
              <w:jc w:val="left"/>
              <w:spacing w:after="0" w:line="240" w:lineRule="auto"/>
              <w:rPr>
                <w:sz w:val="24"/>
                <w:szCs w:val="24"/>
              </w:rPr>
            </w:pPr>
            <w:r>
              <w:rPr>
                <w:rFonts w:ascii="Times New Roman" w:hAnsi="Times New Roman" w:cs="Times New Roman"/>
                <w:color w:val="#000000"/>
                <w:sz w:val="24"/>
                <w:szCs w:val="24"/>
              </w:rPr>
              <w:t>Заключение</w:t>
            </w:r>
            <w:r>
              <w:rPr/>
              <w:t xml:space="preserve"> </w:t>
            </w:r>
          </w:p>
          <w:p>
            <w:pPr>
              <w:jc w:val="left"/>
              <w:spacing w:after="0" w:line="240" w:lineRule="auto"/>
              <w:rPr>
                <w:sz w:val="24"/>
                <w:szCs w:val="24"/>
              </w:rPr>
            </w:pPr>
            <w:r>
              <w:rPr>
                <w:rFonts w:ascii="Times New Roman" w:hAnsi="Times New Roman" w:cs="Times New Roman"/>
                <w:color w:val="#000000"/>
                <w:sz w:val="24"/>
                <w:szCs w:val="24"/>
              </w:rPr>
              <w:t>Список</w:t>
            </w:r>
            <w:r>
              <w:rPr/>
              <w:t xml:space="preserve"> </w:t>
            </w:r>
            <w:r>
              <w:rPr>
                <w:rFonts w:ascii="Times New Roman" w:hAnsi="Times New Roman" w:cs="Times New Roman"/>
                <w:color w:val="#000000"/>
                <w:sz w:val="24"/>
                <w:szCs w:val="24"/>
              </w:rPr>
              <w:t>использованных</w:t>
            </w:r>
            <w:r>
              <w:rPr/>
              <w:t xml:space="preserve"> </w:t>
            </w:r>
            <w:r>
              <w:rPr>
                <w:rFonts w:ascii="Times New Roman" w:hAnsi="Times New Roman" w:cs="Times New Roman"/>
                <w:color w:val="#000000"/>
                <w:sz w:val="24"/>
                <w:szCs w:val="24"/>
              </w:rPr>
              <w:t>источников</w:t>
            </w:r>
            <w:r>
              <w:rPr/>
              <w:t xml:space="preserve"> </w:t>
            </w:r>
          </w:p>
          <w:p>
            <w:pPr>
              <w:jc w:val="left"/>
              <w:spacing w:after="0" w:line="240" w:lineRule="auto"/>
              <w:rPr>
                <w:sz w:val="24"/>
                <w:szCs w:val="24"/>
              </w:rPr>
            </w:pPr>
            <w:r>
              <w:rPr>
                <w:rFonts w:ascii="Times New Roman" w:hAnsi="Times New Roman" w:cs="Times New Roman"/>
                <w:color w:val="#000000"/>
                <w:sz w:val="24"/>
                <w:szCs w:val="24"/>
              </w:rPr>
              <w:t>Приложения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наличии)</w:t>
            </w:r>
            <w:r>
              <w:rPr/>
              <w:t xml:space="preserve"> </w:t>
            </w:r>
          </w:p>
        </w:tc>
      </w:tr>
      <w:tr>
        <w:trPr>
          <w:trHeight w:hRule="exact" w:val="972.405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тем,</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требования</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ВКР</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порядку</w:t>
            </w:r>
            <w:r>
              <w:rPr/>
              <w:t xml:space="preserve"> </w:t>
            </w:r>
            <w:r>
              <w:rPr>
                <w:rFonts w:ascii="Times New Roman" w:hAnsi="Times New Roman" w:cs="Times New Roman"/>
                <w:b/>
                <w:color w:val="#000000"/>
                <w:sz w:val="24"/>
                <w:szCs w:val="24"/>
              </w:rPr>
              <w:t>их</w:t>
            </w:r>
            <w:r>
              <w:rPr/>
              <w:t xml:space="preserve"> </w:t>
            </w:r>
            <w:r>
              <w:rPr>
                <w:rFonts w:ascii="Times New Roman" w:hAnsi="Times New Roman" w:cs="Times New Roman"/>
                <w:b/>
                <w:color w:val="#000000"/>
                <w:sz w:val="24"/>
                <w:szCs w:val="24"/>
              </w:rPr>
              <w:t>выполнения,</w:t>
            </w:r>
            <w:r>
              <w:rPr/>
              <w:t xml:space="preserve"> </w:t>
            </w:r>
            <w:r>
              <w:rPr>
                <w:rFonts w:ascii="Times New Roman" w:hAnsi="Times New Roman" w:cs="Times New Roman"/>
                <w:b/>
                <w:color w:val="#000000"/>
                <w:sz w:val="24"/>
                <w:szCs w:val="24"/>
              </w:rPr>
              <w:t>критерии</w:t>
            </w:r>
            <w:r>
              <w:rPr/>
              <w:t xml:space="preserve"> </w:t>
            </w:r>
            <w:r>
              <w:rPr>
                <w:rFonts w:ascii="Times New Roman" w:hAnsi="Times New Roman" w:cs="Times New Roman"/>
                <w:b/>
                <w:color w:val="#000000"/>
                <w:sz w:val="24"/>
                <w:szCs w:val="24"/>
              </w:rPr>
              <w:t>оценки</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также</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подачи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рассмотрения</w:t>
            </w:r>
            <w:r>
              <w:rPr/>
              <w:t xml:space="preserve"> </w:t>
            </w:r>
            <w:r>
              <w:rPr>
                <w:rFonts w:ascii="Times New Roman" w:hAnsi="Times New Roman" w:cs="Times New Roman"/>
                <w:b/>
                <w:color w:val="#000000"/>
                <w:sz w:val="24"/>
                <w:szCs w:val="24"/>
              </w:rPr>
              <w:t>апелляций</w:t>
            </w:r>
            <w:r>
              <w:rPr/>
              <w:t xml:space="preserve"> </w:t>
            </w:r>
            <w:r>
              <w:rPr>
                <w:rFonts w:ascii="Times New Roman" w:hAnsi="Times New Roman" w:cs="Times New Roman"/>
                <w:b/>
                <w:color w:val="#000000"/>
                <w:sz w:val="24"/>
                <w:szCs w:val="24"/>
              </w:rPr>
              <w:t>размещены</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официальном</w:t>
            </w:r>
            <w:r>
              <w:rPr/>
              <w:t xml:space="preserve"> </w:t>
            </w:r>
            <w:r>
              <w:rPr>
                <w:rFonts w:ascii="Times New Roman" w:hAnsi="Times New Roman" w:cs="Times New Roman"/>
                <w:b/>
                <w:color w:val="#000000"/>
                <w:sz w:val="24"/>
                <w:szCs w:val="24"/>
              </w:rPr>
              <w:t>сайте</w:t>
            </w:r>
            <w:r>
              <w:rPr/>
              <w:t xml:space="preserve"> </w:t>
            </w:r>
            <w:r>
              <w:rPr>
                <w:rFonts w:ascii="Times New Roman" w:hAnsi="Times New Roman" w:cs="Times New Roman"/>
                <w:b/>
                <w:color w:val="#000000"/>
                <w:sz w:val="24"/>
                <w:szCs w:val="24"/>
              </w:rPr>
              <w:t>УрГЭУ</w:t>
            </w:r>
            <w:r>
              <w:rPr/>
              <w:t xml:space="preserve"> </w:t>
            </w:r>
          </w:p>
        </w:tc>
      </w:tr>
      <w:tr>
        <w:trPr>
          <w:trHeight w:hRule="exact" w:val="694.574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Студенту/Государственная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p>
          <w:p>
            <w:pPr>
              <w:jc w:val="left"/>
              <w:spacing w:after="0" w:line="240" w:lineRule="auto"/>
              <w:rPr>
                <w:sz w:val="24"/>
                <w:szCs w:val="24"/>
              </w:rPr>
            </w:pPr>
            <w:r>
              <w:rPr>
                <w:rFonts w:ascii="Times New Roman" w:hAnsi="Times New Roman" w:cs="Times New Roman"/>
                <w:color w:val="#000000"/>
                <w:sz w:val="24"/>
                <w:szCs w:val="24"/>
              </w:rPr>
              <w:t>http://www.usue.ru/studentam/perechen-tem-vypusknyh-kvalifikacionnyh-rabot/</w:t>
            </w:r>
            <w:r>
              <w:rPr/>
              <w:t xml:space="preserve"> </w:t>
            </w:r>
          </w:p>
        </w:tc>
      </w:tr>
      <w:tr>
        <w:trPr>
          <w:trHeight w:hRule="exact" w:val="341.9221"/>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Звонова Е. А., Егоров А. В. Международные валютно-кредитные отношения [Электронный ресурс]:Учебник и практикум. - Москва: Юрайт, 2019. - 687 – Режим доступа: https://urait.ru/bcode/426180</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Казимагомедов А.А. Деньги, кредит, банки [Электронный ресурс]:Учебник. - Москва: ООО "Научно-издательский центр ИНФРА-М", 2019. - 483 – Режим доступа: https://znanium.com/catalog/product/1005922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Казимагомедов А.А. Банковское дело: организация деятельности центрального банка и коммерческого банка, небанковских организаций [Электронный ресурс]:Учебник. - Москва: ООО "Научно-издательский центр ИНФРА-М", 2020. - 502 – Режим доступа: https://znanium.com/catalog/product/1073953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Екимова К.В., Шубина Т. В. Финансы организаций (предприятий) [Электронный ресурс]:Учебник. - Москва: ООО "Научно-издательский центр ИНФРА-М", 2020. - 375 – Режим доступа: https://znanium.com/catalog/product/1072215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Бурмистрова Л. М. Финансы организаций (предприятий) [Электронный ресурс]:Учебное пособие. - Москва: ООО "Научно-издательский центр ИНФРА-М", 2020. - 240 – Режим доступа: https://znanium.com/catalog/product/1068810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Красавина Л. Н., Валовая Т. Д., Пищик В. Я., Портной М. А., Смыслов Д. В., Хейфец Б. А., Хесин Е. С., Оглоблина Е. В., Алексеев П. В. Международные валютно-кредитные и финансовые отношения. [Электронный ресурс]:Учебник для вузов. - Москва: Юрайт, 2020. - 534 – Режим доступа: https://urait.ru/bcode/449942</w:t>
            </w:r>
          </w:p>
        </w:tc>
      </w:tr>
      <w:tr>
        <w:trPr>
          <w:trHeight w:hRule="exact" w:val="1366.95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Аболихина Г. А., Бердышев А. В., Бураков Д. В., Диденко В. Ю., Дубова С. Е., Захарова О. В., Кощегулова И. Р., Криворучко С. В., Лопатин В. А., Матвеевский С. С., Морозко Н. И., Понаморенко В. Е., Свирина Е. М., Шакер И. Е. Деньги, кредит, банки. Денежный и кредитный рынки. [Электронный ресурс]:Учебник и практикум для вузов. - Москва: Юрайт, 2020. - 436 – Режим доступа: https://urait.ru/bcode/450516</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Леонтьев В. Е., Бочаров В. В., Радковская Н. П. Корпоративные финансы. [Электронный ресурс]:Учебник для вузов. - Москва: Юрайт, 2020. - 354 – Режим доступа: https://urait.ru/bcode/450106</w:t>
            </w:r>
          </w:p>
        </w:tc>
      </w:tr>
      <w:tr>
        <w:trPr>
          <w:trHeight w:hRule="exact" w:val="1907.91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Романовский М. В., Ануфриев В. О., Бажанов С. В., Белоглазова Г. Н., Беляева Т. П., Бочаров В. В., Величко Л. А., Вострокнутова А. И., Добросердова И. И., Евдокимова Н. А., Жилюк Д. А., Иванькова Т. П., Канкулова М. И., Кроливецкая В. Э., Кроливецкая Л. П., Леонтьева И. П., Люкевич И. Н., Наумова Л. П., Петухова Р. А., Писклюкова Е. В., Самонов В. М., Самонова И. Н., Усенко О. И., Федосов В. А., Янова С. Ю. Финансы, денежное обращение и кредит. [Электронный ресурс]:Учебник для вузов. - Москва: Юрайт, 2020. - 523 – Режим доступа: https://urait.ru/bcode/449615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Галанов В.А. Рынок ценных бумаг. [Электронный ресурс]:Учебник. - Москва: ООО "Научно-издательский центр ИНФРА-М", 2021. - 414 – Режим доступа: https://znanium.com/catalog/product/1146798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Мокеева Н. Н., Мокеева Н. Н.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Макаров А. С., Рябова Е. В., Хвостова И. Е. Проблемы совершенствования финансовых методов и моделей обеспечения устойчивого развития компании. [Электронный ресурс]:монография. - Москва: ИНФРА-М, 2019. - 175 – Режим доступа: https://znanium.com/catalog/product/994846</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Галанов В.А. Финансы, денежное обращение и кредит. [Электронный ресурс]:Учебник. - Москва: Издательство "ФОРУМ", 2019. - 414 с. – Режим доступа: https://znanium.com/catalog/product/1019937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Зенкина Е.В. Международные валютно-финансовые отношения в постиндустриальном мире [Электронный ресурс]:Монография. - Москва: ООО "Научно-издательский центр ИНФРА-М", 2019. - 169 – Режим доступа: https://znanium.com/catalog/product/1032339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Никитушкина И. В., Макарова С. Г., Студников С. С. Корпоративные финансы. [Электронный ресурс]:Учебник для вузов. - Москва: Юрайт, 2020. - 521 – Режим доступа: https://urait.ru/bcode/449978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Оглоблина Е. В., Красавина Л. Н. Международные валютно-кредитные отношения. Практикум [Электронный ресурс]:Учебное пособие для вузов. - Москва: Юрайт, 2020. - 299 – Режим доступа: https://urait.ru/bcode/450738</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Вяткин В. Н., Гамза В. А. Финансовые решения в управлении бизнесом [Электронный ресурс]:Учебно-практическое пособие. - Москва: Юрайт, 2020. - 325 – Режим доступа: https://urait.ru/bcode/450174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Дворецкая А. Е. Деньги, кредит, банки. [Электронный ресурс]:Учебник для вузов. - Москва: Юрайт, 2020. - 472 – Режим доступа: https://urait.ru/bcode/450259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Левчаев П.А., Осипов В.И. Финансовый механизм и управленческий учет расхода производственных ресурсов компании [Электронный ресурс]:Монография. - Москва: ООО "Научно- издательский центр ИНФРА-М", 2021. - 231 – Режим доступа: https://znanium.com/catalog/product/1149630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Галанов В.А. Финансы, денежное обращение и кредит [Электронный ресурс]:Учебник. - Москва: Издательство "ФОРУМ", 2021. - 414 – Режим доступа: https://znanium.com/catalog/product/1215825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Юзвович</w:t>
            </w:r>
            <w:r>
              <w:rPr/>
              <w:t xml:space="preserve"> </w:t>
            </w:r>
            <w:r>
              <w:rPr>
                <w:rFonts w:ascii="Times New Roman" w:hAnsi="Times New Roman" w:cs="Times New Roman"/>
                <w:color w:val="#000000"/>
                <w:sz w:val="24"/>
                <w:szCs w:val="24"/>
              </w:rPr>
              <w:t>Л.И.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2022-2023_38_03_01-ФиК-2022_очное_plx_Подготовка к процедуре защиты и защита выпускной квалификационной работы</dc:title>
  <dc:creator>FastReport.NET</dc:creator>
</cp:coreProperties>
</file>