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банкротства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правовые аспекты банкротства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анализ и прогнозирование банкротства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Антикризисное управление финансами при угрозе банкротства</w:t>
            </w:r>
          </w:p>
        </w:tc>
      </w:tr>
      <w:tr>
        <w:trPr>
          <w:trHeight w:hRule="exact" w:val="184.632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Ларионов И.К. Антикризисное управление [Электронный ресурс]:Учебник. - Москва: Издательско-торговая корпорация "Дашков и К", 2017. - 380 с. – Режим доступа: https://new.znanium.com/catalog/product/329130</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Арсенова Е.В., Крюкова О.Г. Зарубежная практика антикризисного управления. [Электронный ресурс]:Учебное пособие. - Москва: Издательство "Магистр", 2017. - 272 с. – Режим доступа: https://znanium.com/catalog/product/851190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Алферов В.Н., Кован С.Е. Антикризисное управление как основа формирования механизма устойчивого развития бизнеса. [Электронный ресурс]:Монография. - Москва: ООО "Научно- издательский центр ИНФРА-М", 2019. - 169 с. – Режим доступа: https://znanium.com/catalog/product/1005920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Юзвович Л. И., Разумовская Е. А., Князева Е. Г., Закирова Э. Р., Решетникова Т. В., Ростовцев К. В., Смородина Е. А., Шеина Е. Г., Марамыгин М. С. Денежное хозяйство предприятий [Электронный ресурс]:учебник. - Екатеринбург: [Издательство УрГЭУ], 2018. - 359 с. – Режим доступа: http://lib.usue.ru/resource/limit/ump/18/p491207.pdf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Юзвович Л. И., Юзвович Л. И.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Кукушкина В.В. Антикризисный менеджмент [Электронный ресурс]:Монография. - Москва: ООО "Научно-издательский центр ИНФРА-М", 2018. - 328 – Режим доступа: https://znanium.com/catalog/product/975897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Домащенко Д.В., Финогенова Ю. Ю. Современные подходы к корпоративному риск- менеджменту: методы и инструменты [Электронный ресурс]:Практическое пособие. - Москва: Издательство "Магистр", 2019. - 304 – Режим доступа: https://znanium.com/catalog/product/1006768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Богатырев С.Ю. Международная практика оценочной деятельности [Электронный ресурс]:Учебное пособие. - Москва: Издательский Центр РИО�, 2019. - 96 – Режим доступа: https://znanium.com/catalog/product/1020208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Истомина Н. А., Истомина Н. А.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Консультант</w:t>
            </w:r>
            <w:r>
              <w:rPr/>
              <w:t xml:space="preserve"> </w:t>
            </w:r>
            <w:r>
              <w:rPr>
                <w:rFonts w:ascii="Times New Roman" w:hAnsi="Times New Roman" w:cs="Times New Roman"/>
                <w:b/>
                <w:color w:val="#000000"/>
                <w:sz w:val="24"/>
                <w:szCs w:val="24"/>
              </w:rPr>
              <w:t>Плюс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http://www.consultant.ru/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ГАРАНТ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https://www.garant.ru/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ПРАВО.ру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https://bankruptcy.pravo.ru/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Арбитражного</w:t>
            </w:r>
            <w:r>
              <w:rPr/>
              <w:t xml:space="preserve"> </w:t>
            </w:r>
            <w:r>
              <w:rPr>
                <w:rFonts w:ascii="Times New Roman" w:hAnsi="Times New Roman" w:cs="Times New Roman"/>
                <w:b/>
                <w:color w:val="#000000"/>
                <w:sz w:val="24"/>
                <w:szCs w:val="24"/>
              </w:rPr>
              <w:t>суда</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http://www.ekaterinburg.arbitr.ru/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2022-2023_38_04_08_М-ФРиИ-22_plx_Финансовые основы банкротства</dc:title>
  <dc:creator>FastReport.NET</dc:creator>
</cp:coreProperties>
</file>