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открытая экономическая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(классификация)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управления организацией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 организации и оплата труда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Результативность деятельности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Инновационная и инвестиционная деятельность организации</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Колышкин А. В., Смирнов С. А., Бойко И. П., Чеберко Е. Ф., Ценжарик М. К., Евневич М. А., Давыденко Е. А., Нестеренко Н. Ю., Артемова Д. И., Крылова Ю. В. Экономика организации. [Электронный ресурс]:учебник и практикум для студентов образовательных учреждений среднего профессионального образования. - Москва: Юрайт, 2019. - 498 – Режим доступа: https://urait.ru/bcode/441986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Дорман В. Н., Кельчевская Н. Р. Экономика организации. Ресурсы коммерческой организации. [Электронный ресурс]:Учебное пособие Для СПО. - Москва: Юрайт, 2020. - 134 – Режим доступа: https://urait.ru/bcode/456747</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Сафронов Н.А. Экономика организации (предприятия). [Электронный ресурс]:Учебник для ср. спец. учебных заведений : Учебник. - Москва: Издательство "Магистр", 2020. - 256 – Режим доступа: https://znanium.com/catalog/product/1098802</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Фридман А.М. Экономика организации. [Электронный ресурс]:Учебник. - Москва: Издательский Центр РИО�, 2021. - 239 – Режим доступа: https://znanium.com/catalog/product/1141800</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Кнышова Е.Н., Панфилова Е. Е. Экономика организации. [Электронный ресурс]:Учебник. - Москва: Издательский Дом "ФОРУМ", 2021. - 335 – Режим доступа: https://znanium.com/catalog/product/1197275</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Барышникова Н. А., Матеуш Т. А., Миронов М. Г. Экономика организации. [Электронный ресурс]:Учебное пособие Для СПО. - Москва: Юрайт, 2020. - 184 – Режим доступа: https://urait.ru/bcode/466584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Клочкова Е. Н., Кузнецов В. И., Платонова Т. Е., Дарда Е. С. Экономика организации. [Электронный ресурс]:Учебник Для СПО. - Москва: Юрайт, 2020. - 382 – Режим доступа: https://urait.ru/bcode/466902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Мокий М. С., Азоева О. В., Ивановский В. С. Экономика организации. [Электронный ресурс]:Учебник и практикум Для СПО. - Москва: Юрайт, 2020. - 297 – Режим доступа: https://urait.ru/bcode/467403</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Магомедов А. М. Экономика организации. [Электронный ресурс]:учебник для студентов образовательных учреждений среднего профессионального образования. - Москва: Юрайт, 2019. - 323 – Режим доступа: https://urait.ru/bcode/441535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Кнышова Е.Н., Панфилова Е. Е. Экономика организации. [Электронный ресурс]:Учебник. - Москва: Издательский Дом "ФОРУМ", 2019. - 335 с. – Режим доступа: https://znanium.com/catalog/product/1010780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ГАРАНТ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Консультант</w:t>
            </w:r>
            <w:r>
              <w:rPr/>
              <w:t xml:space="preserve"> </w:t>
            </w:r>
            <w:r>
              <w:rPr>
                <w:rFonts w:ascii="Times New Roman" w:hAnsi="Times New Roman" w:cs="Times New Roman"/>
                <w:b/>
                <w:color w:val="#000000"/>
                <w:sz w:val="24"/>
                <w:szCs w:val="24"/>
              </w:rPr>
              <w:t>плюс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Т.Б.</w:t>
            </w:r>
            <w:r>
              <w:rPr/>
              <w:t xml:space="preserve"> </w:t>
            </w:r>
            <w:r>
              <w:rPr>
                <w:rFonts w:ascii="Times New Roman" w:hAnsi="Times New Roman" w:cs="Times New Roman"/>
                <w:color w:val="#000000"/>
                <w:sz w:val="24"/>
                <w:szCs w:val="24"/>
              </w:rPr>
              <w:t>Боброва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форма_osf_Экономика организации</dc:title>
  <dc:creator>FastReport.NET</dc:creator>
</cp:coreProperties>
</file>